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Title</w:t>
      </w:r>
    </w:p>
    <w:p>
      <w:pPr>
        <w:pStyle w:val="FirstParagraph"/>
      </w:pPr>
      <w:r>
        <w:t xml:space="preserve">“</w:t>
      </w:r>
      <w:r>
        <w:t xml:space="preserve">Genome-Wide Association Study of Brain Arteriolosclerosis</w:t>
      </w:r>
      <w:r>
        <w:t xml:space="preserve">”</w:t>
      </w:r>
    </w:p>
    <w:bookmarkEnd w:id="20"/>
    <w:bookmarkStart w:id="24" w:name="authors"/>
    <w:p>
      <w:pPr>
        <w:pStyle w:val="Heading1"/>
      </w:pPr>
      <w:r>
        <w:t xml:space="preserve">Authors</w:t>
      </w:r>
    </w:p>
    <w:p>
      <w:pPr>
        <w:pStyle w:val="FirstParagraph"/>
      </w:pPr>
      <w:r>
        <w:t xml:space="preserve">Lincoln M.P. Shade</w:t>
      </w:r>
      <w:r>
        <w:rPr>
          <w:vertAlign w:val="superscript"/>
        </w:rPr>
        <w:t xml:space="preserve">1</w:t>
      </w:r>
      <w:r>
        <w:t xml:space="preserve">, Yuriko Katsumata</w:t>
      </w:r>
      <w:r>
        <w:rPr>
          <w:vertAlign w:val="superscript"/>
        </w:rPr>
        <w:t xml:space="preserve">1,2</w:t>
      </w:r>
      <w:r>
        <w:t xml:space="preserve">, Timothy J. Hohman</w:t>
      </w:r>
      <w:r>
        <w:rPr>
          <w:vertAlign w:val="superscript"/>
        </w:rPr>
        <w:t xml:space="preserve">3</w:t>
      </w:r>
      <w:r>
        <w:t xml:space="preserve">, Kwangsik Nho</w:t>
      </w:r>
      <w:r>
        <w:rPr>
          <w:vertAlign w:val="superscript"/>
        </w:rPr>
        <w:t xml:space="preserve">5</w:t>
      </w:r>
      <w:r>
        <w:t xml:space="preserve">, Andrew J. Saykin</w:t>
      </w:r>
      <w:r>
        <w:rPr>
          <w:vertAlign w:val="superscript"/>
        </w:rPr>
        <w:t xml:space="preserve">5</w:t>
      </w:r>
      <w:r>
        <w:t xml:space="preserve">, Shubhabrata Mukherjee</w:t>
      </w:r>
      <w:r>
        <w:rPr>
          <w:vertAlign w:val="superscript"/>
        </w:rPr>
        <w:t xml:space="preserve">6</w:t>
      </w:r>
      <w:r>
        <w:t xml:space="preserve">, Kevin L. Boehme</w:t>
      </w:r>
      <w:r>
        <w:rPr>
          <w:vertAlign w:val="superscript"/>
        </w:rPr>
        <w:t xml:space="preserve">7</w:t>
      </w:r>
      <w:r>
        <w:t xml:space="preserve">, John S.K. Kauwe</w:t>
      </w:r>
      <w:r>
        <w:rPr>
          <w:vertAlign w:val="superscript"/>
        </w:rPr>
        <w:t xml:space="preserve">8</w:t>
      </w:r>
      <w:r>
        <w:t xml:space="preserve">, Julie A. Schneider</w:t>
      </w:r>
      <w:r>
        <w:rPr>
          <w:vertAlign w:val="superscript"/>
        </w:rPr>
        <w:t xml:space="preserve">4</w:t>
      </w:r>
      <w:r>
        <w:t xml:space="preserve">, Peter T. Nelson</w:t>
      </w:r>
      <w:r>
        <w:rPr>
          <w:vertAlign w:val="superscript"/>
        </w:rPr>
        <w:t xml:space="preserve">2,9</w:t>
      </w:r>
      <w:r>
        <w:t xml:space="preserve">, and David W. Fardo</w:t>
      </w:r>
      <w:r>
        <w:rPr>
          <w:vertAlign w:val="superscript"/>
        </w:rPr>
        <w:t xml:space="preserve">1,2</w:t>
      </w:r>
    </w:p>
    <w:bookmarkStart w:id="21" w:name="author-affiliations"/>
    <w:p>
      <w:pPr>
        <w:pStyle w:val="Heading2"/>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5</w:t>
      </w:r>
      <w:r>
        <w:t xml:space="preserve">Department of Radiology &amp; Imaging Sciences, Indiana University School of Medicine, Indianapolis, IN</w:t>
      </w:r>
    </w:p>
    <w:p>
      <w:pPr>
        <w:pStyle w:val="BodyText"/>
      </w:pPr>
      <w:r>
        <w:rPr>
          <w:vertAlign w:val="superscript"/>
        </w:rPr>
        <w:t xml:space="preserve">6</w:t>
      </w:r>
      <w:r>
        <w:t xml:space="preserve">Department of Medicine, University of Washington, Seattle, WA</w:t>
      </w:r>
    </w:p>
    <w:p>
      <w:pPr>
        <w:pStyle w:val="BodyText"/>
      </w:pPr>
      <w:r>
        <w:rPr>
          <w:vertAlign w:val="superscript"/>
        </w:rPr>
        <w:t xml:space="preserve">7</w:t>
      </w:r>
      <w:r>
        <w:t xml:space="preserve">ARUP Laboratories, Salt Lake City, UT</w:t>
      </w:r>
    </w:p>
    <w:p>
      <w:pPr>
        <w:pStyle w:val="BodyText"/>
      </w:pPr>
      <w:r>
        <w:rPr>
          <w:vertAlign w:val="superscript"/>
        </w:rPr>
        <w:t xml:space="preserve">8</w:t>
      </w:r>
      <w:r>
        <w:t xml:space="preserve">Office of the President, Brigham Young University–Hawaii, Laie, HI</w:t>
      </w:r>
    </w:p>
    <w:p>
      <w:pPr>
        <w:pStyle w:val="BodyText"/>
      </w:pPr>
      <w:r>
        <w:rPr>
          <w:vertAlign w:val="superscript"/>
        </w:rPr>
        <w:t xml:space="preserve">4</w:t>
      </w:r>
      <w:r>
        <w:t xml:space="preserve">Departments of Neurology and Pathology, Rush University Medical Center, Chicago, IL</w:t>
      </w:r>
    </w:p>
    <w:p>
      <w:pPr>
        <w:pStyle w:val="BodyText"/>
      </w:pPr>
      <w:r>
        <w:rPr>
          <w:vertAlign w:val="superscript"/>
        </w:rPr>
        <w:t xml:space="preserve">9</w:t>
      </w:r>
      <w:r>
        <w:t xml:space="preserve">Pathology and Laboratory Medicine, University of Kentucky, Lexington, KY</w:t>
      </w:r>
    </w:p>
    <w:bookmarkEnd w:id="21"/>
    <w:bookmarkStart w:id="23" w:name="corresponding-author"/>
    <w:p>
      <w:pPr>
        <w:pStyle w:val="Heading2"/>
      </w:pPr>
      <w:r>
        <w:t xml:space="preserve">Corresponding Author</w:t>
      </w:r>
    </w:p>
    <w:p>
      <w:pPr>
        <w:pStyle w:val="FirstParagraph"/>
      </w:pPr>
      <w:r>
        <w:t xml:space="preserve">David W. Fardo</w:t>
      </w:r>
    </w:p>
    <w:p>
      <w:pPr>
        <w:pStyle w:val="BodyText"/>
      </w:pPr>
      <w:r>
        <w:t xml:space="preserve">725 Rose Street, Room 201</w:t>
      </w:r>
    </w:p>
    <w:p>
      <w:pPr>
        <w:pStyle w:val="BodyText"/>
      </w:pPr>
      <w:r>
        <w:t xml:space="preserve">Lexington, KY 40536-0082</w:t>
      </w:r>
    </w:p>
    <w:p>
      <w:pPr>
        <w:pStyle w:val="BodyText"/>
      </w:pPr>
      <w:hyperlink r:id="rId22">
        <w:r>
          <w:rPr>
            <w:rStyle w:val="Hyperlink"/>
          </w:rPr>
          <w:t xml:space="preserve">david.fardo@uky.edu</w:t>
        </w:r>
      </w:hyperlink>
    </w:p>
    <w:p>
      <w:pPr>
        <w:pStyle w:val="BodyText"/>
      </w:pPr>
      <w:r>
        <w:t xml:space="preserve">859-218-2070</w:t>
      </w:r>
    </w:p>
    <w:bookmarkEnd w:id="23"/>
    <w:bookmarkEnd w:id="24"/>
    <w:bookmarkStart w:id="25" w:name="headline"/>
    <w:p>
      <w:pPr>
        <w:pStyle w:val="Heading1"/>
      </w:pPr>
      <w:r>
        <w:t xml:space="preserve">Headline</w:t>
      </w:r>
    </w:p>
    <w:p>
      <w:pPr>
        <w:pStyle w:val="FirstParagraph"/>
      </w:pPr>
      <w:r>
        <w:t xml:space="preserve">Brain arteriolosclerosis risk genes identified.</w:t>
      </w:r>
    </w:p>
    <w:p>
      <w:r>
        <w:br w:type="page"/>
      </w:r>
    </w:p>
    <w:bookmarkEnd w:id="25"/>
    <w:bookmarkStart w:id="26" w:name="abstract"/>
    <w:p>
      <w:pPr>
        <w:pStyle w:val="Heading1"/>
      </w:pPr>
      <w:r>
        <w:t xml:space="preserve">Abstract</w:t>
      </w:r>
    </w:p>
    <w:p>
      <w:pPr>
        <w:pStyle w:val="FirstParagraph"/>
      </w:pPr>
      <w:r>
        <w:t xml:space="preserve">Brain arteriolosclerosis (B-ASC) is a small-vessel cerebrovascular disease characterized by pathologically altered arterioles. B-ASC is associated with cognitive impairment and increased likelihood of clinical dementia. To date, no study has been conducted on genome-wide genetic risk of autopsy-proven B-ASC. We performed a genome-wide association study (GWAS) of the B-ASC phenotype using multiple independent aged neuropathologic cohorts. Included in the study were participants with B-ASC autopsy and genotype data available from the NACC, ROSMAP, ADNI, and ACT data sets. Initial Stage 1 GWAS (</w:t>
      </w:r>
      <w:r>
        <w:rPr>
          <w:iCs/>
          <w:i/>
        </w:rPr>
        <w:t xml:space="preserve">n</w:t>
      </w:r>
      <w:r>
        <w:t xml:space="preserve"> </w:t>
      </w:r>
      <w:r>
        <w:t xml:space="preserve">= 3382) and Stage 2 mega-analysis (</w:t>
      </w:r>
      <w:r>
        <w:rPr>
          <w:iCs/>
          <w:i/>
        </w:rPr>
        <w:t xml:space="preserve">n</w:t>
      </w:r>
      <w:r>
        <w:t xml:space="preserve"> </w:t>
      </w:r>
      <w:r>
        <w:t xml:space="preserve">= 4569) were performed using data from the two largest cohorts (NACC and ROSMAP). Replication of top variants and additional Stage 3 mega-analysis were performed incorporating two smaller cohorts (ADNI and ACT). Lead variants in the top two loci in the Stage 2 mega-analysis (rs7902929,</w:t>
      </w:r>
      <w:r>
        <w:t xml:space="preserve"> </w:t>
      </w:r>
      <w:r>
        <w:rPr>
          <w:iCs/>
          <w:i/>
        </w:rPr>
        <w:t xml:space="preserve">p</w:t>
      </w:r>
      <w:r>
        <w:t xml:space="preserve"> </w:t>
      </w:r>
      <w:r>
        <w:t xml:space="preserve">=</w:t>
      </w:r>
      <w:r>
        <w:t xml:space="preserve"> </w:t>
      </w:r>
      <m:oMath>
        <m:r>
          <m:t>1.8</m:t>
        </m:r>
        <m:r>
          <m:rPr>
            <m:sty m:val="p"/>
          </m:rPr>
          <m:t>×</m:t>
        </m:r>
        <m:sSup>
          <m:e>
            <m:r>
              <m:t>10</m:t>
            </m:r>
          </m:e>
          <m:sup>
            <m:r>
              <m:rPr>
                <m:sty m:val="p"/>
              </m:rPr>
              <m:t>−</m:t>
            </m:r>
            <m:r>
              <m:t>7</m:t>
            </m:r>
          </m:sup>
        </m:sSup>
      </m:oMath>
      <w:r>
        <w:t xml:space="preserve">; rs2603462,</w:t>
      </w:r>
      <w:r>
        <w:t xml:space="preserve"> </w:t>
      </w:r>
      <w:r>
        <w:rPr>
          <w:iCs/>
          <w:i/>
        </w:rPr>
        <w:t xml:space="preserve">p</w:t>
      </w:r>
      <w:r>
        <w:t xml:space="preserve"> </w:t>
      </w:r>
      <w:r>
        <w:t xml:space="preserve">=</w:t>
      </w:r>
      <w:r>
        <w:t xml:space="preserve"> </w:t>
      </w:r>
      <m:oMath>
        <m:r>
          <m:t>4</m:t>
        </m:r>
        <m:r>
          <m:rPr>
            <m:sty m:val="p"/>
          </m:rPr>
          <m:t>×</m:t>
        </m:r>
        <m:sSup>
          <m:e>
            <m:r>
              <m:t>10</m:t>
            </m:r>
          </m:e>
          <m:sup>
            <m:r>
              <m:rPr>
                <m:sty m:val="p"/>
              </m:rPr>
              <m:t>−</m:t>
            </m:r>
            <m:r>
              <m:t>7</m:t>
            </m:r>
          </m:sup>
        </m:sSup>
      </m:oMath>
      <w:r>
        <w:t xml:space="preserve">) were significant in the ADNI cohort (rs7902929,</w:t>
      </w:r>
      <w:r>
        <w:t xml:space="preserve"> </w:t>
      </w:r>
      <w:r>
        <w:rPr>
          <w:iCs/>
          <w:i/>
        </w:rPr>
        <w:t xml:space="preserve">p</w:t>
      </w:r>
      <w:r>
        <w:t xml:space="preserve"> </w:t>
      </w:r>
      <w:r>
        <w:t xml:space="preserve">=</w:t>
      </w:r>
      <w:r>
        <w:t xml:space="preserve"> </w:t>
      </w:r>
      <m:oMath>
        <m:r>
          <m:t>0.012</m:t>
        </m:r>
      </m:oMath>
      <w:r>
        <w:t xml:space="preserve">; rs2603462,</w:t>
      </w:r>
      <w:r>
        <w:t xml:space="preserve"> </w:t>
      </w:r>
      <w:r>
        <w:rPr>
          <w:iCs/>
          <w:i/>
        </w:rPr>
        <w:t xml:space="preserve">p =</w:t>
      </w:r>
      <w:r>
        <w:t xml:space="preserve"> </w:t>
      </w:r>
      <m:oMath>
        <m:r>
          <m:t>0.012</m:t>
        </m:r>
      </m:oMath>
      <w:r>
        <w:t xml:space="preserve">). The rs2603462 lead variant colocalized with</w:t>
      </w:r>
      <w:r>
        <w:t xml:space="preserve"> </w:t>
      </w:r>
      <w:r>
        <w:rPr>
          <w:iCs/>
          <w:i/>
        </w:rPr>
        <w:t xml:space="preserve">ELOVL4</w:t>
      </w:r>
      <w:r>
        <w:t xml:space="preserve"> </w:t>
      </w:r>
      <w:r>
        <w:t xml:space="preserve">expression in the cerebellum (posterior probability = 92.9%). Suggestive associations were also found near</w:t>
      </w:r>
      <w:r>
        <w:t xml:space="preserve"> </w:t>
      </w:r>
      <w:r>
        <w:rPr>
          <w:iCs/>
          <w:i/>
        </w:rPr>
        <w:t xml:space="preserve">SORCS1</w:t>
      </w:r>
      <w:r>
        <w:t xml:space="preserve"> </w:t>
      </w:r>
      <w:r>
        <w:t xml:space="preserve">and</w:t>
      </w:r>
      <w:r>
        <w:t xml:space="preserve"> </w:t>
      </w:r>
      <w:r>
        <w:rPr>
          <w:iCs/>
          <w:i/>
        </w:rPr>
        <w:t xml:space="preserve">SORCS3</w:t>
      </w:r>
      <w:r>
        <w:t xml:space="preserve">. We thus identified putative loci associated with B-ASC risk, but additional replication is needed.</w:t>
      </w:r>
    </w:p>
    <w:bookmarkEnd w:id="26"/>
    <w:bookmarkStart w:id="27" w:name="keywords"/>
    <w:p>
      <w:pPr>
        <w:pStyle w:val="Heading1"/>
      </w:pPr>
      <w:r>
        <w:t xml:space="preserve">Keywords</w:t>
      </w:r>
    </w:p>
    <w:p>
      <w:pPr>
        <w:pStyle w:val="FirstParagraph"/>
      </w:pPr>
      <w:r>
        <w:t xml:space="preserve">VCID, SVD, arteriosclerosis, neuropathology, dementia, aging</w:t>
      </w:r>
    </w:p>
    <w:p>
      <w:r>
        <w:br w:type="page"/>
      </w:r>
    </w:p>
    <w:bookmarkEnd w:id="27"/>
    <w:bookmarkStart w:id="28"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collagen.</w:t>
      </w:r>
      <w:hyperlink w:anchor="ref-ighodaro2017">
        <w:r>
          <w:rPr>
            <w:rStyle w:val="Hyperlink"/>
            <w:vertAlign w:val="superscript"/>
          </w:rPr>
          <w:t xml:space="preserve">1</w:t>
        </w:r>
      </w:hyperlink>
      <w:r>
        <w:rPr>
          <w:vertAlign w:val="superscript"/>
        </w:rPr>
        <w:t xml:space="preserve">–</w:t>
      </w:r>
      <w:hyperlink w:anchor="ref-blevins2021">
        <w:r>
          <w:rPr>
            <w:rStyle w:val="Hyperlink"/>
            <w:vertAlign w:val="superscript"/>
          </w:rPr>
          <w:t xml:space="preserve">4</w:t>
        </w:r>
      </w:hyperlink>
      <w:r>
        <w:t xml:space="preserve"> </w:t>
      </w:r>
      <w:r>
        <w:t xml:space="preserve">B-ASC is commonly found in autopsied elderly individuals, with more than 50% of participants showing some B-ASC pathology in large autopsy studies.</w:t>
      </w:r>
      <w:hyperlink w:anchor="ref-ighodaro2017">
        <w:r>
          <w:rPr>
            <w:rStyle w:val="Hyperlink"/>
            <w:vertAlign w:val="superscript"/>
          </w:rPr>
          <w:t xml:space="preserve">1</w:t>
        </w:r>
      </w:hyperlink>
      <w:r>
        <w:rPr>
          <w:vertAlign w:val="superscript"/>
        </w:rPr>
        <w:t xml:space="preserve">,</w:t>
      </w:r>
      <w:hyperlink w:anchor="ref-buchman2013">
        <w:r>
          <w:rPr>
            <w:rStyle w:val="Hyperlink"/>
            <w:vertAlign w:val="superscript"/>
          </w:rPr>
          <w:t xml:space="preserve">3</w:t>
        </w:r>
      </w:hyperlink>
      <w:r>
        <w:rPr>
          <w:vertAlign w:val="superscript"/>
        </w:rPr>
        <w:t xml:space="preserve">,</w:t>
      </w:r>
      <w:hyperlink w:anchor="ref-chou2013">
        <w:r>
          <w:rPr>
            <w:rStyle w:val="Hyperlink"/>
            <w:vertAlign w:val="superscript"/>
          </w:rPr>
          <w:t xml:space="preserve">5</w:t>
        </w:r>
      </w:hyperlink>
      <w:r>
        <w:t xml:space="preserve"> </w:t>
      </w:r>
      <w:r>
        <w:t xml:space="preserve">B-ASC is often comorbid with multiple neuropathologies including limbic-predominant age-related TDP-43 encephalopathy (LATE), Alzheimer’s disease (AD), hippocampal sclerosis (HS), micro-infarcts, and large-vessel infarcts.</w:t>
      </w:r>
      <w:hyperlink w:anchor="ref-ighodaro2017">
        <w:r>
          <w:rPr>
            <w:rStyle w:val="Hyperlink"/>
            <w:vertAlign w:val="superscript"/>
          </w:rPr>
          <w:t xml:space="preserve">1</w:t>
        </w:r>
      </w:hyperlink>
      <w:r>
        <w:rPr>
          <w:vertAlign w:val="superscript"/>
        </w:rPr>
        <w:t xml:space="preserve">,</w:t>
      </w:r>
      <w:hyperlink w:anchor="ref-arvanitakis2016">
        <w:r>
          <w:rPr>
            <w:rStyle w:val="Hyperlink"/>
            <w:vertAlign w:val="superscript"/>
          </w:rPr>
          <w:t xml:space="preserve">6</w:t>
        </w:r>
      </w:hyperlink>
      <w:r>
        <w:rPr>
          <w:vertAlign w:val="superscript"/>
        </w:rPr>
        <w:t xml:space="preserve">,</w:t>
      </w:r>
      <w:hyperlink w:anchor="ref-neltner2014">
        <w:r>
          <w:rPr>
            <w:rStyle w:val="Hyperlink"/>
            <w:vertAlign w:val="superscript"/>
          </w:rPr>
          <w:t xml:space="preserve">7</w:t>
        </w:r>
      </w:hyperlink>
      <w:r>
        <w:t xml:space="preserve"> </w:t>
      </w:r>
      <w:r>
        <w:t xml:space="preserve">B-ASC is also associated with cognitive decline, even after adjusting for age and the presence of other neuropathologies.</w:t>
      </w:r>
      <w:hyperlink w:anchor="ref-ighodaro2017">
        <w:r>
          <w:rPr>
            <w:rStyle w:val="Hyperlink"/>
            <w:vertAlign w:val="superscript"/>
          </w:rPr>
          <w:t xml:space="preserve">1</w:t>
        </w:r>
      </w:hyperlink>
      <w:r>
        <w:rPr>
          <w:vertAlign w:val="superscript"/>
        </w:rPr>
        <w:t xml:space="preserve">,</w:t>
      </w:r>
      <w:hyperlink w:anchor="ref-arvanitakis2016">
        <w:r>
          <w:rPr>
            <w:rStyle w:val="Hyperlink"/>
            <w:vertAlign w:val="superscript"/>
          </w:rPr>
          <w:t xml:space="preserve">6</w:t>
        </w:r>
      </w:hyperlink>
      <w:r>
        <w:t xml:space="preserve"> </w:t>
      </w:r>
      <w:r>
        <w:t xml:space="preserve">Despite the clinical importance of B-ASC, its risk factors – other than age and sex – remain largely uncharacterized.</w:t>
      </w:r>
      <w:hyperlink w:anchor="ref-ighodaro2017">
        <w:r>
          <w:rPr>
            <w:rStyle w:val="Hyperlink"/>
            <w:vertAlign w:val="superscript"/>
          </w:rPr>
          <w:t xml:space="preserve">1</w:t>
        </w:r>
      </w:hyperlink>
      <w:r>
        <w:t xml:space="preserve"> </w:t>
      </w:r>
      <w:r>
        <w:t xml:space="preserve">Hypertension (HTN) and diabetes mellitus (DM) are established clinical risk factors for arteriolosclerosis in the kidneys, but their association with B-ASC is inconsistent; in an autopsy based cohort stratified by age at death (&lt;80 years vs. ≥80 years), HTN was significantly associated with B-ASC in the younger group only, and DM was not associated with B-ASC in either group.</w:t>
      </w:r>
      <w:hyperlink w:anchor="ref-ighodaro2017">
        <w:r>
          <w:rPr>
            <w:rStyle w:val="Hyperlink"/>
            <w:vertAlign w:val="superscript"/>
          </w:rPr>
          <w:t xml:space="preserve">1</w:t>
        </w:r>
      </w:hyperlink>
      <w:r>
        <w:rPr>
          <w:vertAlign w:val="superscript"/>
        </w:rPr>
        <w:t xml:space="preserve">,</w:t>
      </w:r>
      <w:hyperlink w:anchor="ref-wu2005">
        <w:r>
          <w:rPr>
            <w:rStyle w:val="Hyperlink"/>
            <w:vertAlign w:val="superscript"/>
          </w:rPr>
          <w:t xml:space="preserve">8</w:t>
        </w:r>
      </w:hyperlink>
      <w:r>
        <w:rPr>
          <w:vertAlign w:val="superscript"/>
        </w:rPr>
        <w:t xml:space="preserve">–</w:t>
      </w:r>
      <w:hyperlink w:anchor="ref-cameron2006">
        <w:r>
          <w:rPr>
            <w:rStyle w:val="Hyperlink"/>
            <w:vertAlign w:val="superscript"/>
          </w:rPr>
          <w:t xml:space="preserve">10</w:t>
        </w:r>
      </w:hyperlink>
    </w:p>
    <w:p>
      <w:pPr>
        <w:pStyle w:val="BodyText"/>
      </w:pPr>
      <w:r>
        <w:t xml:space="preserve">Genome-wide association studies (GWAS) have proven useful for investigating genomic risk of complex diseases via analysis of millions of genetic variants and have to date identified many thousands of genetic variants associated with disease phenotypes.</w:t>
      </w:r>
      <w:hyperlink w:anchor="ref-buniello2019">
        <w:r>
          <w:rPr>
            <w:rStyle w:val="Hyperlink"/>
            <w:vertAlign w:val="superscript"/>
          </w:rPr>
          <w:t xml:space="preserve">11</w:t>
        </w:r>
      </w:hyperlink>
      <w:r>
        <w:t xml:space="preserve"> For example, GWAS have identified genetic risk loci for stroke and for imaging-based phenotypes of cerebrovascular disease such as white matter hyperintensities (WMH) and brain infarcts.</w:t>
      </w:r>
      <w:hyperlink w:anchor="ref-chou2013">
        <w:r>
          <w:rPr>
            <w:rStyle w:val="Hyperlink"/>
            <w:vertAlign w:val="superscript"/>
          </w:rPr>
          <w:t xml:space="preserve">5</w:t>
        </w:r>
      </w:hyperlink>
      <w:r>
        <w:rPr>
          <w:vertAlign w:val="superscript"/>
        </w:rPr>
        <w:t xml:space="preserve">,</w:t>
      </w:r>
      <w:hyperlink w:anchor="ref-beecham2014">
        <w:r>
          <w:rPr>
            <w:rStyle w:val="Hyperlink"/>
            <w:vertAlign w:val="superscript"/>
          </w:rPr>
          <w:t xml:space="preserve">12</w:t>
        </w:r>
      </w:hyperlink>
      <w:r>
        <w:t xml:space="preserve"> Studies of monogenic cerebrovascular disorders have identified genes associated with collagen and basement membrane formation, vascular smooth muscle, inflammation, and potassium ion channels.</w:t>
      </w:r>
      <w:hyperlink w:anchor="ref-blevins2021">
        <w:r>
          <w:rPr>
            <w:rStyle w:val="Hyperlink"/>
            <w:vertAlign w:val="superscript"/>
          </w:rPr>
          <w:t xml:space="preserve">4</w:t>
        </w:r>
      </w:hyperlink>
      <w:r>
        <w:t xml:space="preserve"> GWAS of HS have identified multiple ion channel-associated genes</w:t>
      </w:r>
      <w:hyperlink w:anchor="ref-beecham2014">
        <w:r>
          <w:rPr>
            <w:rStyle w:val="Hyperlink"/>
            <w:vertAlign w:val="superscript"/>
          </w:rPr>
          <w:t xml:space="preserve">12</w:t>
        </w:r>
      </w:hyperlink>
      <w:r>
        <w:t xml:space="preserve"> </w:t>
      </w:r>
      <w:r>
        <w:t xml:space="preserve">that have since been replicated in gene-based studies.</w:t>
      </w:r>
      <w:hyperlink w:anchor="ref-katsumata2017">
        <w:r>
          <w:rPr>
            <w:rStyle w:val="Hyperlink"/>
            <w:vertAlign w:val="superscript"/>
          </w:rPr>
          <w:t xml:space="preserve">13</w:t>
        </w:r>
      </w:hyperlink>
    </w:p>
    <w:p>
      <w:pPr>
        <w:pStyle w:val="BodyText"/>
      </w:pPr>
      <w:r>
        <w:t xml:space="preserve">There has been no published GWAS for autopsy-proven B-ASC to date.</w:t>
      </w:r>
      <w:hyperlink w:anchor="ref-traylor2016">
        <w:r>
          <w:rPr>
            <w:rStyle w:val="Hyperlink"/>
            <w:vertAlign w:val="superscript"/>
          </w:rPr>
          <w:t xml:space="preserve">14</w:t>
        </w:r>
      </w:hyperlink>
      <w:r>
        <w:rPr>
          <w:vertAlign w:val="superscript"/>
        </w:rPr>
        <w:t xml:space="preserve">–</w:t>
      </w:r>
      <w:hyperlink w:anchor="ref-chauhan2019">
        <w:r>
          <w:rPr>
            <w:rStyle w:val="Hyperlink"/>
            <w:vertAlign w:val="superscript"/>
          </w:rPr>
          <w:t xml:space="preserve">16</w:t>
        </w:r>
      </w:hyperlink>
      <w:r>
        <w:t xml:space="preserve"> Given the unique and complex structures of brain arterioles and their associated structures, including astrocytes and other components of the blood-brain barrier, there is reason to suspect that the genetic risk for B-ASC may not be wholly shared with other cerebrovascular phenotypes.</w:t>
      </w:r>
      <w:hyperlink w:anchor="ref-blevins2021">
        <w:r>
          <w:rPr>
            <w:rStyle w:val="Hyperlink"/>
            <w:vertAlign w:val="superscript"/>
          </w:rPr>
          <w:t xml:space="preserve">4</w:t>
        </w:r>
      </w:hyperlink>
      <w:r>
        <w:t xml:space="preserve"> In one previous study of Religious Orders Study/Memory and Aging Project (ROSMAP) participants, 167 independent genetic variants meeting genome-wide significance threshold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 in GWAS of stroke or stroke risk factors were tested for association with B-ASC pathology.</w:t>
      </w:r>
      <w:hyperlink w:anchor="ref-chou2013">
        <w:r>
          <w:rPr>
            <w:rStyle w:val="Hyperlink"/>
            <w:vertAlign w:val="superscript"/>
          </w:rPr>
          <w:t xml:space="preserve">5</w:t>
        </w:r>
      </w:hyperlink>
      <w:r>
        <w:t xml:space="preserve"> The authors found six variants nominally associated with B-ASC at the 5% significance level.</w:t>
      </w:r>
      <w:hyperlink w:anchor="ref-chou2013">
        <w:r>
          <w:rPr>
            <w:rStyle w:val="Hyperlink"/>
            <w:vertAlign w:val="superscript"/>
          </w:rPr>
          <w:t xml:space="preserve">5</w:t>
        </w:r>
      </w:hyperlink>
      <w:r>
        <w:t xml:space="preserve"> Another study found that an HS risk variant located in</w:t>
      </w:r>
      <w:r>
        <w:t xml:space="preserve"> </w:t>
      </w:r>
      <w:r>
        <w:rPr>
          <w:iCs/>
          <w:i/>
        </w:rPr>
        <w:t xml:space="preserve">ABCC9</w:t>
      </w:r>
      <w:r>
        <w:t xml:space="preserve"> </w:t>
      </w:r>
      <w:r>
        <w:t xml:space="preserve">was nominally associated with B-ASC.</w:t>
      </w:r>
      <w:hyperlink w:anchor="ref-ighodaro2017">
        <w:r>
          <w:rPr>
            <w:rStyle w:val="Hyperlink"/>
            <w:vertAlign w:val="superscript"/>
          </w:rPr>
          <w:t xml:space="preserve">1</w:t>
        </w:r>
      </w:hyperlink>
      <w:r>
        <w:t xml:space="preserve"> We hypothesized that investigating genetic risk factors of B-ASC at the genome-wide level would provide important insights into its pathophysiological development as well as its relationship to neuroimaging and other neuropathological phenotypes.</w:t>
      </w:r>
    </w:p>
    <w:p>
      <w:pPr>
        <w:pStyle w:val="BodyText"/>
      </w:pPr>
      <w:r>
        <w:t xml:space="preserve">In the present study, we conducted a GWAS using B-ASC pathology as an endophenotype in four independent autopsy cohorts with genotype data available.</w:t>
      </w:r>
    </w:p>
    <w:bookmarkEnd w:id="28"/>
    <w:bookmarkStart w:id="44" w:name="methods"/>
    <w:p>
      <w:pPr>
        <w:pStyle w:val="Heading1"/>
      </w:pPr>
      <w:r>
        <w:t xml:space="preserve">Methods</w:t>
      </w:r>
    </w:p>
    <w:p>
      <w:pPr>
        <w:pStyle w:val="FirstParagraph"/>
      </w:pPr>
      <w:r>
        <w:t xml:space="preserve">An outline of our study design is shown in</w:t>
      </w:r>
      <w:r>
        <w:t xml:space="preserve"> </w:t>
      </w:r>
      <w:r>
        <w:rPr>
          <w:bCs/>
          <w:b/>
        </w:rPr>
        <w:t xml:space="preserve">Figure 1</w:t>
      </w:r>
      <w:r>
        <w:t xml:space="preserve">. In Stage 1, a GWAS was performed on neuropathology data from the National Alzheimer’s Coordinating Center (NACC) Neuropathology data set linked to GWAS genotype data from the Alzheimer’s Disease Genetics Consortium (ADGC). In Stage 2, top variants from the NACC GWAS were first analyzed in ROSMAP, and then the two data sets were merged and mega-analyzed. In Stage 3, we analyzed the top variants from Stage 2 in two smaller autopsy cohorts from the Alzheimer’s Disease Neuroimaging Initiative (ADNI) and the Adult Changes in Thought (ACT) study. We then mega-analyzed all four cohorts together. To investigate potential biologically functional correlates to disease risk, we then performed colocalization analysis on B-ASC associated variants identified as quantitative trait loci (QTL) using data from the Genetic Tissue Expression (GTEx) Project and gene-based association analyses.</w:t>
      </w:r>
      <w:hyperlink w:anchor="ref-thegeno2013">
        <w:r>
          <w:rPr>
            <w:rStyle w:val="Hyperlink"/>
            <w:vertAlign w:val="superscript"/>
          </w:rPr>
          <w:t xml:space="preserve">17</w:t>
        </w:r>
      </w:hyperlink>
      <w:r>
        <w:t xml:space="preserve"> To investigate the potential of HTN or DM acting as mediators on B-ASC risk, we performed mediation analyses on a subset of NACC participants with available clinical data.</w:t>
      </w:r>
    </w:p>
    <w:p>
      <w:pPr>
        <w:pStyle w:val="BodyText"/>
      </w:pPr>
      <w:r>
        <w:t xml:space="preserve">[insert</w:t>
      </w:r>
      <w:r>
        <w:t xml:space="preserve"> </w:t>
      </w:r>
      <w:r>
        <w:rPr>
          <w:bCs/>
          <w:b/>
        </w:rPr>
        <w:t xml:space="preserve">Figure 1</w:t>
      </w:r>
      <w:r>
        <w:t xml:space="preserve">]</w:t>
      </w:r>
    </w:p>
    <w:bookmarkStart w:id="30" w:name="study-participants"/>
    <w:p>
      <w:pPr>
        <w:pStyle w:val="Heading2"/>
      </w:pPr>
      <w:r>
        <w:t xml:space="preserve">Study Participants</w:t>
      </w:r>
    </w:p>
    <w:p>
      <w:pPr>
        <w:pStyle w:val="FirstParagraph"/>
      </w:pPr>
      <w:r>
        <w:t xml:space="preserve">All study participants were de-identified and deceased, so that archival samples were exclusively used. Thus our study did not fall under the definition of</w:t>
      </w:r>
      <w:r>
        <w:t xml:space="preserve"> </w:t>
      </w:r>
      <w:r>
        <w:t xml:space="preserve">‘</w:t>
      </w:r>
      <w:r>
        <w:t xml:space="preserve">Human Subjects Research</w:t>
      </w:r>
      <w:r>
        <w:t xml:space="preserve">’</w:t>
      </w:r>
      <w:r>
        <w:t xml:space="preserve">, according to the University of Kentucky Institutional Review Board, because of NIH Exemption #4–involving the collection/study of data or specimens if publicly available, and/or recorded such that subjects cannot be identified.</w:t>
      </w:r>
    </w:p>
    <w:p>
      <w:pPr>
        <w:pStyle w:val="BodyText"/>
      </w:pPr>
      <w:r>
        <w:t xml:space="preserve">For the Stage 1 GWAS, neuropathology data from participants in &gt;30 National Institute on Aging-funded Alzheimer’s Disease Research Centers (ADRCs) studies in the NACC Neuropathology Data Set were linked to ADGC genotype data.</w:t>
      </w:r>
      <w:hyperlink w:anchor="ref-welcome">
        <w:r>
          <w:rPr>
            <w:rStyle w:val="Hyperlink"/>
            <w:vertAlign w:val="superscript"/>
          </w:rPr>
          <w:t xml:space="preserve">18</w:t>
        </w:r>
      </w:hyperlink>
      <w:r>
        <w:rPr>
          <w:vertAlign w:val="superscript"/>
        </w:rPr>
        <w:t xml:space="preserve">,</w:t>
      </w:r>
      <w:hyperlink w:anchor="ref-besser2018">
        <w:r>
          <w:rPr>
            <w:rStyle w:val="Hyperlink"/>
            <w:vertAlign w:val="superscript"/>
          </w:rPr>
          <w:t xml:space="preserve">19</w:t>
        </w:r>
      </w:hyperlink>
      <w:r>
        <w:t xml:space="preserve"> Each ADRC has its own study population, design, and participant recruitment strategies. Data are uniformly collected data and subsequently aggregated by NACC. Participants diagnosed with any of 19 unusual neurological conditions were then excluded because B-ASC may represent something different in the presence of these rare diseases (see Supplementary Table S1 for full exclusion criteria). Similar exclusion criteria were not applied to other studies’ participants due to lack of data availability. A total of 3501 participants had both B-ASC neuropathology and genotype data available and passed initial inclusion criteria.</w:t>
      </w:r>
    </w:p>
    <w:p>
      <w:pPr>
        <w:pStyle w:val="BodyText"/>
      </w:pPr>
      <w:r>
        <w:t xml:space="preserve">The ROSMAP study has been previously described in detail and consists of harmonized data from two longitudinal cohorts: The Religious Orders Study (ROS) and the Memory and Aging Project (MAP).</w:t>
      </w:r>
      <w:hyperlink w:anchor="ref-bennett2018">
        <w:r>
          <w:rPr>
            <w:rStyle w:val="Hyperlink"/>
            <w:vertAlign w:val="superscript"/>
          </w:rPr>
          <w:t xml:space="preserve">20</w:t>
        </w:r>
      </w:hyperlink>
      <w:r>
        <w:rPr>
          <w:vertAlign w:val="superscript"/>
        </w:rPr>
        <w:t xml:space="preserve"> </w:t>
      </w:r>
      <w:r>
        <w:t xml:space="preserve"> ROS began in 1994 and recruited older Catholic Priests and Sisters from around the United States. MAP began in 1997 and recruited older adults who at the time had no diagnosis of dementia. A total of 1213 ROSMAP participants had both autopsy and genotype data available.</w:t>
      </w:r>
    </w:p>
    <w:p>
      <w:pPr>
        <w:pStyle w:val="BodyText"/>
      </w:pPr>
      <w:r>
        <w:t xml:space="preserve">The ADNI (</w:t>
      </w:r>
      <w:hyperlink r:id="rId29">
        <w:r>
          <w:rPr>
            <w:rStyle w:val="Hyperlink"/>
          </w:rPr>
          <w:t xml:space="preserve">adni.loni.usc.edu</w:t>
        </w:r>
      </w:hyperlink>
      <w:r>
        <w:t xml:space="preserve">) was launched in 2003 as a public-private research partnership, led by Principal Investigator Michael W. Weiner, MD. The primary goal of ADNI has been to test whether serial magnetic resonance imaging (MRI), positron emission tomography (PET), other biological markers, and clinical and neuropsychological assessment can be combined to measure the progression of mild cognitive impairment (MCI) and early AD. A subset of ADNI participants undergo autopsy and receive neuropathological phenotyping. A total of 60 ADNI participants had both B-ASC and genotype data available.</w:t>
      </w:r>
    </w:p>
    <w:p>
      <w:pPr>
        <w:pStyle w:val="BodyText"/>
      </w:pPr>
      <w:r>
        <w:t xml:space="preserve">The ACT study began in 1994 and recruited residents in the greater Seattle area aged 65 years and older without dementia at time of enrollment.</w:t>
      </w:r>
      <w:hyperlink w:anchor="ref-kukull2002">
        <w:r>
          <w:rPr>
            <w:rStyle w:val="Hyperlink"/>
            <w:vertAlign w:val="superscript"/>
          </w:rPr>
          <w:t xml:space="preserve">21</w:t>
        </w:r>
      </w:hyperlink>
      <w:r>
        <w:t xml:space="preserve"> The goal of the study has expanded to include three cohorts and continuous enrollment using the same enrollment criteria and has a current total of 4,960 participants across all three cohorts. A total of 518 ACT participants had both B-ASC and genotype data available.</w:t>
      </w:r>
    </w:p>
    <w:bookmarkEnd w:id="30"/>
    <w:bookmarkStart w:id="32" w:name="definitions-of-b-asc-variables-used"/>
    <w:p>
      <w:pPr>
        <w:pStyle w:val="Heading2"/>
      </w:pPr>
      <w:r>
        <w:t xml:space="preserve">Definitions of B-ASC variables used</w:t>
      </w:r>
    </w:p>
    <w:p>
      <w:pPr>
        <w:pStyle w:val="FirstParagraph"/>
      </w:pPr>
      <w:r>
        <w:t xml:space="preserve">In the NACC Neuropathology Data Set, B-ASC was graded as an ordinal variable with possible values of 0 (none), 1 (mild), 2 (moderate), or 3 (severe). Grading was performed by trained neuropathologists at each ADRC.</w:t>
      </w:r>
      <w:r>
        <w:t xml:space="preserve"> </w:t>
      </w:r>
      <w:r>
        <w:rPr>
          <w:bCs/>
          <w:b/>
        </w:rPr>
        <w:t xml:space="preserve">The NACC NP v10 Coding Guidebook (</w:t>
      </w:r>
      <w:hyperlink r:id="rId31">
        <w:r>
          <w:rPr>
            <w:rStyle w:val="Hyperlink"/>
            <w:bCs/>
            <w:b/>
          </w:rPr>
          <w:t xml:space="preserve">https://files.alz.washington.edu/documentation/np10-guidebook.pdf</w:t>
        </w:r>
      </w:hyperlink>
      <w:r>
        <w:rPr>
          <w:bCs/>
          <w:b/>
        </w:rPr>
        <w:t xml:space="preserve">) instructs examiners to grade B-ASC based on subcortical white or gray matter and to exclude arteriolar thickening due secondary to cerebral amyloid angiopathy. On page 13, the Guidebook defines B-ASC as,</w:t>
      </w:r>
      <w:r>
        <w:rPr>
          <w:bCs/>
          <w:b/>
        </w:rPr>
        <w:t xml:space="preserve"> </w:t>
      </w:r>
      <w:r>
        <w:rPr>
          <w:bCs/>
          <w:b/>
        </w:rPr>
        <w:t xml:space="preserve">“</w:t>
      </w:r>
      <w:r>
        <w:rPr>
          <w:bCs/>
          <w:b/>
        </w:rPr>
        <w:t xml:space="preserve">concentric hyaline thickening of the media of arterioles. Intimal fibrosis may also accompany this change. The term</w:t>
      </w:r>
      <w:r>
        <w:rPr>
          <w:bCs/>
          <w:b/>
        </w:rPr>
        <w:t xml:space="preserve"> </w:t>
      </w:r>
      <w:r>
        <w:rPr>
          <w:bCs/>
          <w:b/>
        </w:rPr>
        <w:t xml:space="preserve">‘</w:t>
      </w:r>
      <w:r>
        <w:rPr>
          <w:bCs/>
          <w:b/>
        </w:rPr>
        <w:t xml:space="preserve">lipo-hyalinosis</w:t>
      </w:r>
      <w:r>
        <w:rPr>
          <w:bCs/>
          <w:b/>
        </w:rPr>
        <w:t xml:space="preserve">’</w:t>
      </w:r>
      <w:r>
        <w:rPr>
          <w:bCs/>
          <w:b/>
        </w:rPr>
        <w:t xml:space="preserve"> </w:t>
      </w:r>
      <w:r>
        <w:rPr>
          <w:bCs/>
          <w:b/>
        </w:rPr>
        <w:t xml:space="preserve">is sometimes used to refer to the same pathologic change.</w:t>
      </w:r>
      <w:r>
        <w:rPr>
          <w:bCs/>
          <w:b/>
        </w:rPr>
        <w:t xml:space="preserve">”</w:t>
      </w:r>
      <w:r>
        <w:t xml:space="preserve"> </w:t>
      </w:r>
      <w:r>
        <w:t xml:space="preserve">The B-ASC variable in ROSMAP was graded on B-ASC histological changes exclusively in the basal ganglia. Vessel intimal pathology is first graded on a scale from 0 (none) to 6 (severe), and then collapsed to a four-level ordinal variable with the same labels as in NACC.</w:t>
      </w:r>
      <w:hyperlink w:anchor="ref-buchman2011">
        <w:r>
          <w:rPr>
            <w:rStyle w:val="Hyperlink"/>
            <w:vertAlign w:val="superscript"/>
          </w:rPr>
          <w:t xml:space="preserve">22</w:t>
        </w:r>
      </w:hyperlink>
      <w:r>
        <w:t xml:space="preserve"> ADNI and ACT autopsy procedures followed the NACC Neuropathology codebook.</w:t>
      </w:r>
      <w:hyperlink w:anchor="ref-franklin2015">
        <w:r>
          <w:rPr>
            <w:rStyle w:val="Hyperlink"/>
            <w:vertAlign w:val="superscript"/>
          </w:rPr>
          <w:t xml:space="preserve">23</w:t>
        </w:r>
      </w:hyperlink>
    </w:p>
    <w:bookmarkEnd w:id="32"/>
    <w:bookmarkStart w:id="33" w:name="identifying-ethnic-outliers"/>
    <w:p>
      <w:pPr>
        <w:pStyle w:val="Heading2"/>
      </w:pPr>
      <w:r>
        <w:t xml:space="preserve">Identifying ethnic outliers</w:t>
      </w:r>
    </w:p>
    <w:p>
      <w:pPr>
        <w:pStyle w:val="FirstParagraph"/>
      </w:pPr>
      <w:r>
        <w:t xml:space="preserve">In all cohorts, principal component analysis (PCA) in PLINK v1.9</w:t>
      </w:r>
      <w:hyperlink w:anchor="ref-chang2015">
        <w:r>
          <w:rPr>
            <w:rStyle w:val="Hyperlink"/>
            <w:vertAlign w:val="superscript"/>
          </w:rPr>
          <w:t xml:space="preserve">24</w:t>
        </w:r>
      </w:hyperlink>
      <w:r>
        <w:t xml:space="preserve"> </w:t>
      </w:r>
      <w:r>
        <w:t xml:space="preserve">was performed with a pruned subset of independent (linkage disequilibrium (LD) r</w:t>
      </w:r>
      <w:r>
        <w:rPr>
          <w:vertAlign w:val="superscript"/>
        </w:rPr>
        <w:t xml:space="preserve">2</w:t>
      </w:r>
      <w:r>
        <w:t xml:space="preserve"> </w:t>
      </w:r>
      <w:r>
        <w:t xml:space="preserve">&lt; 0.05) variants from each data set merged to data from the 1000 Genomes Project Phase 3 (1000 Genomes, n = 2504).</w:t>
      </w:r>
      <w:hyperlink w:anchor="ref-Abecasis2012">
        <w:r>
          <w:rPr>
            <w:rStyle w:val="Hyperlink"/>
            <w:vertAlign w:val="superscript"/>
          </w:rPr>
          <w:t xml:space="preserve">25</w:t>
        </w:r>
      </w:hyperlink>
      <w:r>
        <w:t xml:space="preserve"> All variants were checked to ensure that major and minor alleles matched in the study data sets and 1000 Genomes. The standardized first and second principal components (PCs) were then plotted for each participant using the ggplot2 R package in R version 4.0.4.</w:t>
      </w:r>
      <w:hyperlink w:anchor="ref-rcoreteam2020">
        <w:r>
          <w:rPr>
            <w:rStyle w:val="Hyperlink"/>
            <w:vertAlign w:val="superscript"/>
          </w:rPr>
          <w:t xml:space="preserve">26</w:t>
        </w:r>
      </w:hyperlink>
      <w:r>
        <w:t xml:space="preserve"> All participants within a Euclidean distance of 0.35 from the centroid of 1000 Genomes participants in the EUR superpopulation were considered to be of European descent and included in analyses. We then re-ran PCA for the included participants and included the first five PCs as covariates in regression models.</w:t>
      </w:r>
    </w:p>
    <w:bookmarkEnd w:id="33"/>
    <w:bookmarkStart w:id="35" w:name="X382df3280f722ef3762bc91810773c031d3e201"/>
    <w:p>
      <w:pPr>
        <w:pStyle w:val="Heading2"/>
      </w:pPr>
      <w:r>
        <w:t xml:space="preserve">Quality control (QC) of participants and genotype data</w:t>
      </w:r>
    </w:p>
    <w:p>
      <w:pPr>
        <w:pStyle w:val="FirstParagraph"/>
      </w:pPr>
      <w:r>
        <w:t xml:space="preserve">Imputation for ADGC was performed using the Haplotype Reference Consortium (HRC) panel</w:t>
      </w:r>
      <w:hyperlink w:anchor="ref-mccarthy2016">
        <w:r>
          <w:rPr>
            <w:rStyle w:val="Hyperlink"/>
            <w:vertAlign w:val="superscript"/>
          </w:rPr>
          <w:t xml:space="preserve">27</w:t>
        </w:r>
      </w:hyperlink>
      <w:r>
        <w:t xml:space="preserve"> </w:t>
      </w:r>
      <w:r>
        <w:t xml:space="preserve">(workflow can be found at</w:t>
      </w:r>
      <w:r>
        <w:t xml:space="preserve"> </w:t>
      </w:r>
      <w:hyperlink r:id="rId34">
        <w:r>
          <w:rPr>
            <w:rStyle w:val="Hyperlink"/>
          </w:rPr>
          <w:t xml:space="preserve">https://github.com/KBoehme/ADGC_HRC_MERGE</w:t>
        </w:r>
      </w:hyperlink>
      <w:r>
        <w:t xml:space="preserve">). The ROSMAP genotype QC workflow has been previously described.</w:t>
      </w:r>
      <w:hyperlink w:anchor="ref-dumitrescu2020">
        <w:r>
          <w:rPr>
            <w:rStyle w:val="Hyperlink"/>
            <w:vertAlign w:val="superscript"/>
          </w:rPr>
          <w:t xml:space="preserve">28</w:t>
        </w:r>
      </w:hyperlink>
      <w:r>
        <w:t xml:space="preserve"> Briefly, imputation was performed for ROSMAP on the Michigan Imputation Server</w:t>
      </w:r>
      <w:hyperlink w:anchor="ref-das2016">
        <w:r>
          <w:rPr>
            <w:rStyle w:val="Hyperlink"/>
            <w:vertAlign w:val="superscript"/>
          </w:rPr>
          <w:t xml:space="preserve">29</w:t>
        </w:r>
      </w:hyperlink>
      <w:r>
        <w:t xml:space="preserve"> </w:t>
      </w:r>
      <w:r>
        <w:t xml:space="preserve">using the HRC panel. Imputation for ACT was performed on the Michigan Imputation Server using the Trans-Omics for Precision Medicine (TOPMed) reference panel.</w:t>
      </w:r>
      <w:hyperlink w:anchor="ref-fuchsberger2015">
        <w:r>
          <w:rPr>
            <w:rStyle w:val="Hyperlink"/>
            <w:vertAlign w:val="superscript"/>
          </w:rPr>
          <w:t xml:space="preserve">30</w:t>
        </w:r>
      </w:hyperlink>
      <w:r>
        <w:rPr>
          <w:vertAlign w:val="superscript"/>
        </w:rPr>
        <w:t xml:space="preserve">,</w:t>
      </w:r>
      <w:hyperlink w:anchor="ref-taliun2019">
        <w:r>
          <w:rPr>
            <w:rStyle w:val="Hyperlink"/>
            <w:vertAlign w:val="superscript"/>
          </w:rPr>
          <w:t xml:space="preserve">31</w:t>
        </w:r>
      </w:hyperlink>
      <w:r>
        <w:t xml:space="preserve"> We performed additional standard QC procedures on all genotyping data using PLINK v1.9 and KING.</w:t>
      </w:r>
      <w:hyperlink w:anchor="ref-chang2015">
        <w:r>
          <w:rPr>
            <w:rStyle w:val="Hyperlink"/>
            <w:vertAlign w:val="superscript"/>
          </w:rPr>
          <w:t xml:space="preserve">24</w:t>
        </w:r>
      </w:hyperlink>
      <w:r>
        <w:rPr>
          <w:vertAlign w:val="superscript"/>
        </w:rPr>
        <w:t xml:space="preserve">,</w:t>
      </w:r>
      <w:hyperlink w:anchor="ref-chang">
        <w:r>
          <w:rPr>
            <w:rStyle w:val="Hyperlink"/>
            <w:vertAlign w:val="superscript"/>
          </w:rPr>
          <w:t xml:space="preserve">32</w:t>
        </w:r>
      </w:hyperlink>
      <w:r>
        <w:rPr>
          <w:vertAlign w:val="superscript"/>
        </w:rPr>
        <w:t xml:space="preserve">–</w:t>
      </w:r>
      <w:hyperlink w:anchor="ref-marees2018">
        <w:r>
          <w:rPr>
            <w:rStyle w:val="Hyperlink"/>
            <w:vertAlign w:val="superscript"/>
          </w:rPr>
          <w:t xml:space="preserve">35</w:t>
        </w:r>
      </w:hyperlink>
      <w:r>
        <w:t xml:space="preserve"> Variants were excluded if they had (1) a minor allele frequency (MAF) less than 5%; (2) a call rate of less than 95%; or (3) a Hardy-Weinberg equilibrium exact test</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using all participants in a cohort.</w:t>
      </w:r>
    </w:p>
    <w:p>
      <w:pPr>
        <w:pStyle w:val="BodyText"/>
      </w:pPr>
      <w:r>
        <w:t xml:space="preserve">Participants were removed if they had a genotype missingness rate above 5% or a heterozygosity rate more than 3 standard deviations above or below the mean of their cohort. All participants were checked for duplicate genotype information across studies. All participants with duplicate information within one cohort were removed, while participants with duplicate information across cohorts were preferentially kept in the data set analyzed first and removed from cohorts used later in the study (</w:t>
      </w:r>
      <w:r>
        <w:rPr>
          <w:iCs/>
          <w:i/>
        </w:rPr>
        <w:t xml:space="preserve">i.e.</w:t>
      </w:r>
      <w:r>
        <w:t xml:space="preserve"> </w:t>
      </w:r>
      <w:r>
        <w:t xml:space="preserve">NACC &gt; ROSMAP &gt; ADNI and ACT). Participant relatedness, as measured by proportion identity by descent (</w:t>
      </w:r>
      <m:oMath>
        <m:r>
          <m:t>π</m:t>
        </m:r>
      </m:oMath>
      <w:r>
        <w:t xml:space="preserve">) was estimated using PLINK. For clusters of closely related participants (</w:t>
      </w:r>
      <m:oMath>
        <m:r>
          <m:t>π</m:t>
        </m:r>
        <m:r>
          <m:rPr>
            <m:sty m:val="p"/>
          </m:rPr>
          <m:t>≥</m:t>
        </m:r>
      </m:oMath>
      <w:r>
        <w:t xml:space="preserve"> </w:t>
      </w:r>
      <w:r>
        <w:t xml:space="preserve">0.18), preference was given to the participant with the highest genotyping rate and others were removed. In NACC analyses, 4799488 variants and 3382 participants passed QC protocols. In the ROSMAP replication data set, 4889494 variants and 1187 participants passed QC protocols. Thirteen ADNI participants were identified as NACC duplicates and removed, leaving 47 participants for analysis. A total of 512 ACT participants passed QC measures.</w:t>
      </w:r>
    </w:p>
    <w:bookmarkEnd w:id="35"/>
    <w:bookmarkStart w:id="43" w:name="statistical-analyses"/>
    <w:p>
      <w:pPr>
        <w:pStyle w:val="Heading2"/>
      </w:pPr>
      <w:r>
        <w:t xml:space="preserve">Statistical analyses</w:t>
      </w:r>
    </w:p>
    <w:bookmarkStart w:id="36" w:name="single-variant-analyses"/>
    <w:p>
      <w:pPr>
        <w:pStyle w:val="Heading3"/>
      </w:pPr>
      <w:r>
        <w:t xml:space="preserve">Single-variant analyses</w:t>
      </w:r>
    </w:p>
    <w:p>
      <w:pPr>
        <w:pStyle w:val="FirstParagraph"/>
      </w:pPr>
      <w:r>
        <w:t xml:space="preserve">Single-variant association analyses for NACC were performed using logistic regression in PLINK v1.9 and ordinal regression in R using the MASS package.</w:t>
      </w:r>
      <w:hyperlink w:anchor="ref-rcoreteam2020">
        <w:r>
          <w:rPr>
            <w:rStyle w:val="Hyperlink"/>
            <w:vertAlign w:val="superscript"/>
          </w:rPr>
          <w:t xml:space="preserve">26</w:t>
        </w:r>
      </w:hyperlink>
      <w:r>
        <w:rPr>
          <w:vertAlign w:val="superscript"/>
        </w:rPr>
        <w:t xml:space="preserve">,</w:t>
      </w:r>
      <w:hyperlink w:anchor="ref-chang">
        <w:r>
          <w:rPr>
            <w:rStyle w:val="Hyperlink"/>
            <w:vertAlign w:val="superscript"/>
          </w:rPr>
          <w:t xml:space="preserve">32</w:t>
        </w:r>
      </w:hyperlink>
      <w:r>
        <w:t xml:space="preserve"> To create a dichotomous outcome variable for logistic regression, participants with none or mild B-ASC were treated as controls and those with moderate or severe B-ASC as cases. This decision was made because previous studies have found that moderate-to-severe B-ASC is associated with worse cognitive functioning.</w:t>
      </w:r>
      <w:hyperlink w:anchor="ref-ighodaro2017">
        <w:r>
          <w:rPr>
            <w:rStyle w:val="Hyperlink"/>
            <w:vertAlign w:val="superscript"/>
          </w:rPr>
          <w:t xml:space="preserve">1</w:t>
        </w:r>
      </w:hyperlink>
      <w:r>
        <w:rPr>
          <w:vertAlign w:val="superscript"/>
        </w:rPr>
        <w:t xml:space="preserve">,</w:t>
      </w:r>
      <w:hyperlink w:anchor="ref-arvanitakis2016">
        <w:r>
          <w:rPr>
            <w:rStyle w:val="Hyperlink"/>
            <w:vertAlign w:val="superscript"/>
          </w:rPr>
          <w:t xml:space="preserve">6</w:t>
        </w:r>
      </w:hyperlink>
      <w:r>
        <w:t xml:space="preserve"> Covariates in the regression models included age at death, sex, ADGC genotyping cohort, and the first five PCs. An additive mode of inheritance was assumed in all analyses. A Bonferroni-corrected threshold of</w:t>
      </w:r>
      <w:r>
        <w:t xml:space="preserve">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 </w:t>
      </w:r>
      <w:r>
        <w:t xml:space="preserve">was used for genome-wide significance and a predetermined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t>
      </w:r>
      <w:r>
        <w:t xml:space="preserve">for</w:t>
      </w:r>
      <w:r>
        <w:t xml:space="preserve"> </w:t>
      </w:r>
      <w:r>
        <w:t xml:space="preserve">“</w:t>
      </w:r>
      <w:r>
        <w:t xml:space="preserve">suggestive</w:t>
      </w:r>
      <w:r>
        <w:t xml:space="preserve">”</w:t>
      </w:r>
      <w:r>
        <w:t xml:space="preserve"> </w:t>
      </w:r>
      <w:r>
        <w:t xml:space="preserve">association meriting further investigation. Then, using PLINK v1.9, variants meeting the suggestive threshold were clumped to create a set of independent variants (defined as LD</w:t>
      </w:r>
      <w:r>
        <w:t xml:space="preserve"> </w:t>
      </w:r>
      <w:r>
        <w:rPr>
          <w:iCs/>
          <w:i/>
        </w:rPr>
        <w:t xml:space="preserve">r</w:t>
      </w:r>
      <w:r>
        <w:rPr>
          <w:vertAlign w:val="superscript"/>
          <w:iCs/>
          <w:i/>
        </w:rPr>
        <w:t xml:space="preserve">2</w:t>
      </w:r>
      <w:r>
        <w:t xml:space="preserve"> </w:t>
      </w:r>
      <w:r>
        <w:t xml:space="preserve">&lt; 0.05). For suggestive variants in ordinal regression analyses, the proportional odds assumption was tested using the Brant test in the brant R package.</w:t>
      </w:r>
      <w:hyperlink w:anchor="ref-schlegel2020">
        <w:r>
          <w:rPr>
            <w:rStyle w:val="Hyperlink"/>
            <w:vertAlign w:val="superscript"/>
          </w:rPr>
          <w:t xml:space="preserve">36</w:t>
        </w:r>
      </w:hyperlink>
      <w:r>
        <w:t xml:space="preserve"> Finally, we examined single variants previously found to be putatively associated with B-ASC in Chou et al. (2013)</w:t>
      </w:r>
      <w:hyperlink w:anchor="ref-chou2013">
        <w:r>
          <w:rPr>
            <w:rStyle w:val="Hyperlink"/>
            <w:vertAlign w:val="superscript"/>
          </w:rPr>
          <w:t xml:space="preserve">5</w:t>
        </w:r>
      </w:hyperlink>
      <w:r>
        <w:t xml:space="preserve"> </w:t>
      </w:r>
      <w:r>
        <w:t xml:space="preserve">to determine if any were validated in NACC at the</w:t>
      </w:r>
      <w:r>
        <w:t xml:space="preserve"> </w:t>
      </w:r>
      <w:r>
        <w:rPr>
          <w:iCs/>
          <w:i/>
        </w:rPr>
        <w:t xml:space="preserve">p</w:t>
      </w:r>
      <w:r>
        <w:t xml:space="preserve"> </w:t>
      </w:r>
      <w:r>
        <w:t xml:space="preserve">&lt; 0.05 significance level.</w:t>
      </w:r>
    </w:p>
    <w:p>
      <w:pPr>
        <w:pStyle w:val="BodyText"/>
      </w:pPr>
      <w:r>
        <w:t xml:space="preserve">In the ROSMAP analyses, single-variant regression analyses were performed using variants identified as suggestively significant in the NACC analyses, using a significance threshold of</w:t>
      </w:r>
      <w:r>
        <w:t xml:space="preserve"> </w:t>
      </w:r>
      <w:r>
        <w:rPr>
          <w:iCs/>
          <w:i/>
        </w:rPr>
        <w:t xml:space="preserve">p</w:t>
      </w:r>
      <w:r>
        <w:t xml:space="preserve"> </w:t>
      </w:r>
      <w:r>
        <w:t xml:space="preserve">&lt; 0.05 for these variants. Covariates included age at death, sex, study (ROS vs. MAP) and the first five PCs. We then performed a mega-analysis on both cohorts. We also performed both fixed- and random-effects meta-analyses in PLINK v1.9 for NACC and ROSMAP logistic GWAS results.</w:t>
      </w:r>
    </w:p>
    <w:p>
      <w:pPr>
        <w:pStyle w:val="BodyText"/>
      </w:pPr>
      <w:r>
        <w:t xml:space="preserve">To seek replication of our results, variants with NACC + ROSMAP mega-analytic</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were analyzed separately in the ADNI and ACT data sets. The ADNI and ACT participants were then added to the combined NACC and ROSMAP data set to perform a combined mega-analyss. A total of 4470488 variants were shared between the NACC, ROSMAP, ADNI, and ACT data sets that passed QC measures.</w:t>
      </w:r>
    </w:p>
    <w:p>
      <w:pPr>
        <w:pStyle w:val="BodyText"/>
      </w:pPr>
      <w:r>
        <w:rPr>
          <w:bCs/>
          <w:b/>
        </w:rPr>
        <w:t xml:space="preserve">To test if variants associated with B-ASC were also associated with large-vessel cerebrovascular disease, we tested the association of variants with</w:t>
      </w:r>
      <w:r>
        <w:rPr>
          <w:bCs/>
          <w:b/>
        </w:rPr>
        <w:t xml:space="preserve"> </w:t>
      </w:r>
      <w:r>
        <w:rPr>
          <w:iCs/>
          <w:i/>
          <w:bCs/>
          <w:b/>
        </w:rPr>
        <w:t xml:space="preserve">p &lt;</w:t>
      </w:r>
      <w:r>
        <w:t xml:space="preserve"> </w:t>
      </w:r>
      <m:oMath>
        <m:r>
          <m:t>1</m:t>
        </m:r>
        <m:r>
          <m:rPr>
            <m:sty m:val="p"/>
          </m:rPr>
          <m:t>×</m:t>
        </m:r>
        <m:sSup>
          <m:e>
            <m:r>
              <m:t>10</m:t>
            </m:r>
          </m:e>
          <m:sup>
            <m:r>
              <m:rPr>
                <m:sty m:val="p"/>
              </m:rPr>
              <m:t>−</m:t>
            </m:r>
            <m:r>
              <m:t>6</m:t>
            </m:r>
          </m:sup>
        </m:sSup>
      </m:oMath>
      <w:r>
        <w:t xml:space="preserve"> </w:t>
      </w:r>
      <w:r>
        <w:rPr>
          <w:bCs/>
          <w:b/>
        </w:rPr>
        <w:t xml:space="preserve">in the Stage 2 mega-analysis with intracranial atherosclerosis in a recent GWAS performed on ROSMAP participants.</w:t>
      </w:r>
      <w:hyperlink w:anchor="ref-vattathil2021">
        <w:r>
          <w:rPr>
            <w:rStyle w:val="Hyperlink"/>
            <w:vertAlign w:val="superscript"/>
            <w:bCs/>
            <w:b/>
          </w:rPr>
          <w:t xml:space="preserve">37</w:t>
        </w:r>
      </w:hyperlink>
    </w:p>
    <w:bookmarkEnd w:id="36"/>
    <w:bookmarkStart w:id="38" w:name="gene-based-analyses"/>
    <w:p>
      <w:pPr>
        <w:pStyle w:val="Heading3"/>
      </w:pPr>
      <w:r>
        <w:t xml:space="preserve">Gene-based analyses</w:t>
      </w:r>
    </w:p>
    <w:p>
      <w:pPr>
        <w:pStyle w:val="FirstParagraph"/>
      </w:pPr>
      <w:r>
        <w:t xml:space="preserve">Following single-variant analyses, we performed gene-based analyses using MAGMA.</w:t>
      </w:r>
      <w:hyperlink w:anchor="ref-leeuw2015">
        <w:r>
          <w:rPr>
            <w:rStyle w:val="Hyperlink"/>
            <w:vertAlign w:val="superscript"/>
          </w:rPr>
          <w:t xml:space="preserve">38</w:t>
        </w:r>
      </w:hyperlink>
      <w:r>
        <w:t xml:space="preserve"> Variants were mapped to genes within 1000 kilo-base pairs (kb) using the Genome Reference Consortium Human Build 37 (GRCh37/hg19) positions available on the MAGMA website (</w:t>
      </w:r>
      <w:hyperlink r:id="rId37">
        <w:r>
          <w:rPr>
            <w:rStyle w:val="Hyperlink"/>
          </w:rPr>
          <w:t xml:space="preserve">https://ctg.cncr.nl/software/magma</w:t>
        </w:r>
      </w:hyperlink>
      <w:r>
        <w:t xml:space="preserve">), producing a total of 18473 genes with at least one annotated variant. We then performed gene-based analyses in MAGMA using a Bonferroni-corrected significance threshold of</w:t>
      </w:r>
      <w:r>
        <w:t xml:space="preserve"> </w:t>
      </w:r>
      <w:r>
        <w:rPr>
          <w:iCs/>
          <w:i/>
        </w:rPr>
        <w:t xml:space="preserve">p</w:t>
      </w:r>
      <w:r>
        <w:t xml:space="preserve"> </w:t>
      </w:r>
      <w:r>
        <w:t xml:space="preserve">&lt;</w:t>
      </w:r>
      <w:r>
        <w:t xml:space="preserve"> </w:t>
      </w:r>
      <m:oMath>
        <m:r>
          <m:t>2.5</m:t>
        </m:r>
        <m:r>
          <m:rPr>
            <m:sty m:val="p"/>
          </m:rPr>
          <m:t>×</m:t>
        </m:r>
        <m:sSup>
          <m:e>
            <m:r>
              <m:t>10</m:t>
            </m:r>
          </m:e>
          <m:sup>
            <m:r>
              <m:rPr>
                <m:sty m:val="p"/>
              </m:rPr>
              <m:t>−</m:t>
            </m:r>
            <m:r>
              <m:t>6</m:t>
            </m:r>
          </m:sup>
        </m:sSup>
      </m:oMath>
      <w:r>
        <w:t xml:space="preserve">.</w:t>
      </w:r>
    </w:p>
    <w:bookmarkEnd w:id="38"/>
    <w:bookmarkStart w:id="40" w:name="colocalization-analyses"/>
    <w:p>
      <w:pPr>
        <w:pStyle w:val="Heading3"/>
      </w:pPr>
      <w: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GTEx project V8 publicly available data (accessible at</w:t>
      </w:r>
      <w:r>
        <w:t xml:space="preserve"> </w:t>
      </w:r>
      <w:hyperlink r:id="rId39">
        <w:r>
          <w:rPr>
            <w:rStyle w:val="Hyperlink"/>
          </w:rPr>
          <w:t xml:space="preserve">https://www.gtexportal.org/home/datasets</w:t>
        </w:r>
      </w:hyperlink>
      <w:r>
        <w:t xml:space="preserve">).</w:t>
      </w:r>
      <w:hyperlink w:anchor="ref-thegeno2013">
        <w:r>
          <w:rPr>
            <w:rStyle w:val="Hyperlink"/>
            <w:vertAlign w:val="superscript"/>
          </w:rPr>
          <w:t xml:space="preserve">17</w:t>
        </w:r>
      </w:hyperlink>
      <w:r>
        <w:rPr>
          <w:vertAlign w:val="superscript"/>
        </w:rPr>
        <w:t xml:space="preserve">,</w:t>
      </w:r>
      <w:hyperlink w:anchor="ref-aguet2017">
        <w:r>
          <w:rPr>
            <w:rStyle w:val="Hyperlink"/>
            <w:vertAlign w:val="superscript"/>
          </w:rPr>
          <w:t xml:space="preserve">39</w:t>
        </w:r>
      </w:hyperlink>
      <w:r>
        <w:rPr>
          <w:vertAlign w:val="superscript"/>
        </w:rPr>
        <w:t xml:space="preserve">–</w:t>
      </w:r>
      <w:hyperlink w:anchor="ref-gtexpor">
        <w:r>
          <w:rPr>
            <w:rStyle w:val="Hyperlink"/>
            <w:vertAlign w:val="superscript"/>
          </w:rPr>
          <w:t xml:space="preserve">41</w:t>
        </w:r>
      </w:hyperlink>
      <w:r>
        <w:t xml:space="preserve"> QTL are calculated in GTEx by performing single-variant analysis of gene expression for all variants within 1000 kb of the transcription start and end sites for each gene. First, we systematically checked to determine if suggestive variants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from the Stage 3 mega-analysis were significant expression QTL (eQTL) or splicing QTL (sQTL) across 52 tissues using GTEx summary statistics of participants of European descent. We then performed colocalization analysis on each significant phenotype/tissue combination using default prior probabilities in the coloc package (</w:t>
      </w:r>
      <m:oMath>
        <m:sSub>
          <m:e>
            <m:r>
              <m:t>p</m:t>
            </m:r>
          </m:e>
          <m:sub>
            <m:r>
              <m:t>1</m:t>
            </m:r>
          </m:sub>
        </m:sSub>
        <m:r>
          <m:rPr>
            <m:sty m:val="p"/>
          </m:rPr>
          <m:t>=</m:t>
        </m:r>
        <m:sSub>
          <m:e>
            <m:r>
              <m:t>p</m:t>
            </m:r>
          </m:e>
          <m:sub>
            <m:r>
              <m:t>2</m:t>
            </m:r>
          </m:sub>
        </m:sSub>
        <m:r>
          <m:rPr>
            <m:sty m:val="p"/>
          </m:rPr>
          <m:t>=</m:t>
        </m:r>
        <m:r>
          <m:t>1</m:t>
        </m:r>
        <m:r>
          <m:rPr>
            <m:sty m:val="p"/>
          </m:rPr>
          <m:t>×</m:t>
        </m:r>
        <m:sSup>
          <m:e>
            <m:r>
              <m:t>10</m:t>
            </m:r>
          </m:e>
          <m:sup>
            <m:r>
              <m:rPr>
                <m:sty m:val="p"/>
              </m:rPr>
              <m:t>−</m:t>
            </m:r>
            <m:r>
              <m:t>4</m:t>
            </m:r>
          </m:sup>
        </m:sSup>
      </m:oMath>
      <w:r>
        <w:t xml:space="preserve"> </w:t>
      </w:r>
      <w:r>
        <w:t xml:space="preserve">and</w:t>
      </w:r>
      <w:r>
        <w:t xml:space="preserve"> </w:t>
      </w:r>
      <m:oMath>
        <m:sSub>
          <m:e>
            <m:r>
              <m:t>p</m:t>
            </m:r>
          </m:e>
          <m:sub>
            <m:r>
              <m:t>12</m:t>
            </m:r>
          </m:sub>
        </m:sSub>
        <m:r>
          <m:rPr>
            <m:sty m:val="p"/>
          </m:rPr>
          <m:t>=</m:t>
        </m:r>
        <m:r>
          <m:t>1</m:t>
        </m:r>
        <m:r>
          <m:rPr>
            <m:sty m:val="p"/>
          </m:rPr>
          <m:t>×</m:t>
        </m:r>
        <m:sSup>
          <m:e>
            <m:r>
              <m:t>10</m:t>
            </m:r>
          </m:e>
          <m:sup>
            <m:r>
              <m:rPr>
                <m:sty m:val="p"/>
              </m:rPr>
              <m:t>−</m:t>
            </m:r>
            <m:r>
              <m:t>5</m:t>
            </m:r>
          </m:sup>
        </m:sSup>
      </m:oMath>
      <w:r>
        <w:t xml:space="preserve">). These parameter choices indicate that each variant used has a 1/10,000 prior probability of being a B-ASC risk variant or a QTL, and a variant that is either a B-ASC risk variant or a QTL has a 1/10 prior probability of being both.</w:t>
      </w:r>
      <w:hyperlink w:anchor="ref-giambartolomei2014">
        <w:r>
          <w:rPr>
            <w:rStyle w:val="Hyperlink"/>
            <w:vertAlign w:val="superscript"/>
          </w:rPr>
          <w:t xml:space="preserve">40</w:t>
        </w:r>
      </w:hyperlink>
      <w:r>
        <w:t xml:space="preserve"> Because the coloc package can currently only analyze dichotomous or continuous variables, we did not analyze variants from the ordinal regression analyses. A posterior probability of colocalization (PPH4) of 50% or greater was chosen to indicate evidence for colocalization.</w:t>
      </w:r>
    </w:p>
    <w:bookmarkEnd w:id="40"/>
    <w:bookmarkStart w:id="41" w:name="mediation-analyses"/>
    <w:p>
      <w:pPr>
        <w:pStyle w:val="Heading3"/>
      </w:pPr>
      <w:r>
        <w:t xml:space="preserve">Mediation analyses</w:t>
      </w:r>
    </w:p>
    <w:p>
      <w:pPr>
        <w:pStyle w:val="FirstParagraph"/>
      </w:pPr>
      <w:r>
        <w:t xml:space="preserve">To test the hypotheses that variants associated with B-ASC risk may be mediated by HTN or DM, we performed mediation analyses using R on the subset of NACC participants with clinical variables available.</w:t>
      </w:r>
      <w:hyperlink w:anchor="ref-ighodaro2017">
        <w:r>
          <w:rPr>
            <w:rStyle w:val="Hyperlink"/>
            <w:vertAlign w:val="superscript"/>
          </w:rPr>
          <w:t xml:space="preserve">1</w:t>
        </w:r>
      </w:hyperlink>
      <w:r>
        <w:rPr>
          <w:vertAlign w:val="superscript"/>
        </w:rPr>
        <w:t xml:space="preserve">,</w:t>
      </w:r>
      <w:hyperlink w:anchor="ref-baron">
        <w:r>
          <w:rPr>
            <w:rStyle w:val="Hyperlink"/>
            <w:vertAlign w:val="superscript"/>
          </w:rPr>
          <w:t xml:space="preserve">42</w:t>
        </w:r>
      </w:hyperlink>
      <w:r>
        <w:t xml:space="preserve"> Participants were labeled as DM or HTN cases if they had at least one of 1) self-reported diagnosis, 2) clinician-reported diagnoses, or 3) reported use of DM or HTN medication on their most recent clinical visit prior to death.</w:t>
      </w:r>
    </w:p>
    <w:bookmarkEnd w:id="41"/>
    <w:bookmarkStart w:id="42" w:name="sensitivity-analyses"/>
    <w:p>
      <w:pPr>
        <w:pStyle w:val="Heading3"/>
      </w:pPr>
      <w:r>
        <w:t xml:space="preserve">Sensitivity analyses</w:t>
      </w:r>
    </w:p>
    <w:p>
      <w:pPr>
        <w:pStyle w:val="FirstParagraph"/>
      </w:pPr>
      <w:r>
        <w:t xml:space="preserve">Given previously identified potential differences in clinical risk factors for B-ASC in participants stratified by age at death, we re-analyzed our analyses in NACC and ROSMAP using only participants with an age at death of 80 or above. To further assess the robustness of our results under different model assumptions, we performed several sensitivity analyses in our NACC data 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hyperlink w:anchor="ref-chen2020">
        <w:r>
          <w:rPr>
            <w:rStyle w:val="Hyperlink"/>
            <w:vertAlign w:val="superscript"/>
          </w:rPr>
          <w:t xml:space="preserve">43</w:t>
        </w:r>
      </w:hyperlink>
      <w:r>
        <w:rPr>
          <w:vertAlign w:val="superscript"/>
        </w:rPr>
        <w:t xml:space="preserve">–</w:t>
      </w:r>
      <w:hyperlink w:anchor="ref-zheng2012">
        <w:r>
          <w:rPr>
            <w:rStyle w:val="Hyperlink"/>
            <w:vertAlign w:val="superscript"/>
          </w:rPr>
          <w:t xml:space="preserve">46</w:t>
        </w:r>
      </w:hyperlink>
      <w:r>
        <w:t xml:space="preserve"> To overcome issues with computing PCs with samples with related participants, we used the PC-AiR method.</w:t>
      </w:r>
      <w:hyperlink w:anchor="ref-gogarten">
        <w:r>
          <w:rPr>
            <w:rStyle w:val="Hyperlink"/>
            <w:vertAlign w:val="superscript"/>
          </w:rPr>
          <w:t xml:space="preserve">45</w:t>
        </w:r>
      </w:hyperlink>
      <w:r>
        <w:t xml:space="preserve"/>
      </w:r>
    </w:p>
    <w:bookmarkEnd w:id="42"/>
    <w:bookmarkEnd w:id="43"/>
    <w:bookmarkEnd w:id="44"/>
    <w:bookmarkStart w:id="50" w:name="results"/>
    <w:p>
      <w:pPr>
        <w:pStyle w:val="Heading1"/>
      </w:pPr>
      <w:r>
        <w:t xml:space="preserve">Results</w:t>
      </w:r>
    </w:p>
    <w:p>
      <w:pPr>
        <w:pStyle w:val="FirstParagraph"/>
      </w:pPr>
      <w:r>
        <w:t xml:space="preserve">Of the 3382 NACC participants that met inclusion criteria for analysis, 935 (27.6%) had no B-ASC, 1023 (30.2%) had mild B-ASC, 1043 (30.8%) had moderate B-ASC, and 381 (11.3%) had severe B-ASC (Table 1). ROSMAP participants that met inclusion for analysis had comparatively less B-ASC pathology (</w:t>
      </w:r>
      <w:r>
        <w:rPr>
          <w:iCs/>
          <w:i/>
        </w:rPr>
        <w:t xml:space="preserve">p</w:t>
      </w:r>
      <w:r>
        <w:t xml:space="preserve"> </w:t>
      </w:r>
      <w:r>
        <w:t xml:space="preserve">= 0.002): 414 (34.9%) had no B-ASC, 405 (34.1%) had mild B-ASC, 284 (23.9%) had moderate B-ASC, and 84 (7.1%) had severe B-ASC. NACC participants were also significantly more likely to be male (50% vs.33%,</w:t>
      </w:r>
      <w:r>
        <w:t xml:space="preserve"> </w:t>
      </w:r>
      <w:r>
        <w:rPr>
          <w:iCs/>
          <w:i/>
        </w:rPr>
        <w:t xml:space="preserve">p</w:t>
      </w:r>
      <w:r>
        <w:t xml:space="preserve"> </w:t>
      </w:r>
      <w:r>
        <w:t xml:space="preserve">&lt; 0.001) and had younger ages at death on average (mean age at death 82 vs. 89.6,</w:t>
      </w:r>
      <w:r>
        <w:t xml:space="preserve"> </w:t>
      </w:r>
      <w:r>
        <w:rPr>
          <w:iCs/>
          <w:i/>
        </w:rPr>
        <w:t xml:space="preserve">p</w:t>
      </w:r>
      <w:r>
        <w:t xml:space="preserve"> </w:t>
      </w:r>
      <w:r>
        <w:t xml:space="preserve">&lt; 0.001) compared to ROSMAP participants. ADNI had the highest proportion of male participants of any cohort at 83 %, while ACT had the lowest percentage at participant with no B-ASC with 7 (1.4%) participants.</w:t>
      </w:r>
    </w:p>
    <w:bookmarkStart w:id="45" w:name="single-variant-analyses-1"/>
    <w:p>
      <w:pPr>
        <w:pStyle w:val="Heading2"/>
      </w:pPr>
      <w:r>
        <w:t xml:space="preserve">Single-variant analyses</w:t>
      </w:r>
    </w:p>
    <w:p>
      <w:pPr>
        <w:pStyle w:val="FirstParagraph"/>
      </w:pPr>
      <w:r>
        <w:t xml:space="preserve">In the NACC and ROSMAP cohorts, 1424 (42.1%) and 368 (31%) of participants had either moderate or severe B-ASC and were counted as cases, respectively. In the Stage 1 NACC GWAS (</w:t>
      </w:r>
      <w:r>
        <w:rPr>
          <w:iCs/>
          <w:i/>
        </w:rPr>
        <w:t xml:space="preserve">n</w:t>
      </w:r>
      <w:r>
        <w:t xml:space="preserve"> </w:t>
      </w:r>
      <w:r>
        <w:t xml:space="preserve">= 3382), one locus on Chromosome 6q14.1 with lead variant rs2603462 was genome-wide significantly associated with B-ASC (odds ratio [OR] = 1.45,</w:t>
      </w:r>
      <w:r>
        <w:t xml:space="preserve"> </w:t>
      </w:r>
      <w:r>
        <w:rPr>
          <w:iCs/>
          <w:i/>
        </w:rPr>
        <w:t xml:space="preserve">p</w:t>
      </w:r>
      <w:r>
        <w:t xml:space="preserve"> </w:t>
      </w:r>
      <w:r>
        <w:t xml:space="preserve">=</w:t>
      </w:r>
      <w:r>
        <w:t xml:space="preserve"> </w:t>
      </w:r>
      <m:oMath>
        <m:r>
          <m:t>2.5</m:t>
        </m:r>
        <m:r>
          <m:rPr>
            <m:sty m:val="p"/>
          </m:rPr>
          <m:t>×</m:t>
        </m:r>
        <m:sSup>
          <m:e>
            <m:r>
              <m:t>10</m:t>
            </m:r>
          </m:e>
          <m:sup>
            <m:r>
              <m:rPr>
                <m:sty m:val="p"/>
              </m:rPr>
              <m:t>−</m:t>
            </m:r>
            <m:r>
              <m:t>8</m:t>
            </m:r>
          </m:sup>
        </m:sSup>
      </m:oMath>
      <w:r>
        <w:t xml:space="preserve">). We identified 13 other loci that met our suggestive association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described in Table 2. Of the 14 loci that met the suggestive threshold, rs7902929 on Chromosome 10q25.1 was significant at</w:t>
      </w:r>
      <w:r>
        <w:t xml:space="preserve"> </w:t>
      </w:r>
      <w:r>
        <w:rPr>
          <w:iCs/>
          <w:i/>
        </w:rPr>
        <w:t xml:space="preserve">p</w:t>
      </w:r>
      <w:r>
        <w:t xml:space="preserve"> </w:t>
      </w:r>
      <w:r>
        <w:t xml:space="preserve">&lt; 0.05 level in ROSMAP (NACC OR = 1.57,</w:t>
      </w:r>
      <w:r>
        <w:t xml:space="preserve"> </w:t>
      </w:r>
      <w:r>
        <w:rPr>
          <w:iCs/>
          <w:i/>
        </w:rPr>
        <w:t xml:space="preserve">p</w:t>
      </w:r>
      <w:r>
        <w:t xml:space="preserve"> </w:t>
      </w:r>
      <w:r>
        <w:t xml:space="preserve">=</w:t>
      </w:r>
      <w:r>
        <w:t xml:space="preserve"> </w:t>
      </w:r>
      <m:oMath>
        <m:r>
          <m:t>7.8</m:t>
        </m:r>
        <m:r>
          <m:rPr>
            <m:sty m:val="p"/>
          </m:rPr>
          <m:t>×</m:t>
        </m:r>
        <m:sSup>
          <m:e>
            <m:r>
              <m:t>10</m:t>
            </m:r>
          </m:e>
          <m:sup>
            <m:r>
              <m:rPr>
                <m:sty m:val="p"/>
              </m:rPr>
              <m:t>−</m:t>
            </m:r>
            <m:r>
              <m:t>6</m:t>
            </m:r>
          </m:sup>
        </m:sSup>
      </m:oMath>
      <w:r>
        <w:t xml:space="preserve">; ROSMAP OR = 1.61,</w:t>
      </w:r>
      <w:r>
        <w:t xml:space="preserve"> </w:t>
      </w:r>
      <w:r>
        <w:rPr>
          <w:iCs/>
          <w:i/>
        </w:rPr>
        <w:t xml:space="preserve">p</w:t>
      </w:r>
      <w:r>
        <w:t xml:space="preserve"> </w:t>
      </w:r>
      <w:r>
        <w:t xml:space="preserve">=</w:t>
      </w:r>
      <w:r>
        <w:t xml:space="preserve"> </w:t>
      </w:r>
      <m:oMath>
        <m:r>
          <m:t>0.0069</m:t>
        </m:r>
      </m:oMath>
      <w:r>
        <w:t xml:space="preserve">). For the other 13 loci, two variants did not pass QC in ROSMAP, two had non-significant ROSMAP ORs &lt; 1, and 9 had non-significant effect sizes in the same direction as in NACC. Results in the ordinal regressions were broadly similar to the logistic analyses in both cohorts. Of the top 14 loci in the NACC logistic regression analysis, four also met the suggestive threshold in the ordinal regression analysis, and 10 had</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4</m:t>
            </m:r>
          </m:sup>
        </m:sSup>
      </m:oMath>
      <w:r>
        <w:t xml:space="preserve"> </w:t>
      </w:r>
      <w:r>
        <w:t xml:space="preserve">(Supplementary Table S2) Of the six variants found to be nominally associated with B-ASC by Chou et al. (2013),</w:t>
      </w:r>
      <w:hyperlink w:anchor="ref-chou2013">
        <w:r>
          <w:rPr>
            <w:rStyle w:val="Hyperlink"/>
            <w:vertAlign w:val="superscript"/>
          </w:rPr>
          <w:t xml:space="preserve">5</w:t>
        </w:r>
      </w:hyperlink>
      <w:r>
        <w:t xml:space="preserve"> no variants were validated at the</w:t>
      </w:r>
      <w:r>
        <w:t xml:space="preserve"> </w:t>
      </w:r>
      <w:r>
        <w:rPr>
          <w:iCs/>
          <w:i/>
        </w:rPr>
        <w:t xml:space="preserve">p</w:t>
      </w:r>
      <w:r>
        <w:t xml:space="preserve"> </w:t>
      </w:r>
      <w:r>
        <w:t xml:space="preserve">&lt; 0.05 significance level in the NACC cohort.</w:t>
      </w:r>
    </w:p>
    <w:p>
      <w:pPr>
        <w:pStyle w:val="BodyText"/>
      </w:pPr>
      <w:r>
        <w:t xml:space="preserve">In the Stage 2 NACC and ROSMAP mega-analysis (</w:t>
      </w:r>
      <w:r>
        <w:rPr>
          <w:iCs/>
          <w:i/>
        </w:rPr>
        <w:t xml:space="preserve">n</w:t>
      </w:r>
      <w:r>
        <w:t xml:space="preserve"> </w:t>
      </w:r>
      <w:r>
        <w:t xml:space="preserve">= 4569), 11 loci met the suggestive significance threshold, with rs7902929 (OR = 1.58,</w:t>
      </w:r>
      <w:r>
        <w:t xml:space="preserve"> </w:t>
      </w:r>
      <w:r>
        <w:rPr>
          <w:iCs/>
          <w:i/>
        </w:rPr>
        <w:t xml:space="preserve">p</w:t>
      </w:r>
      <w:r>
        <w:t xml:space="preserve"> </w:t>
      </w:r>
      <w:r>
        <w:t xml:space="preserve">=</w:t>
      </w:r>
      <w:r>
        <w:t xml:space="preserve"> </w:t>
      </w:r>
      <m:oMath>
        <m:r>
          <m:t>1.8</m:t>
        </m:r>
        <m:r>
          <m:rPr>
            <m:sty m:val="p"/>
          </m:rPr>
          <m:t>×</m:t>
        </m:r>
        <m:sSup>
          <m:e>
            <m:r>
              <m:t>10</m:t>
            </m:r>
          </m:e>
          <m:sup>
            <m:r>
              <m:rPr>
                <m:sty m:val="p"/>
              </m:rPr>
              <m:t>−</m:t>
            </m:r>
            <m:r>
              <m:t>7</m:t>
            </m:r>
          </m:sup>
        </m:sSup>
      </m:oMath>
      <w:r>
        <w:t xml:space="preserve">) and rs2603462 (OR = 1.34,</w:t>
      </w:r>
      <w:r>
        <w:t xml:space="preserve"> </w:t>
      </w:r>
      <w:r>
        <w:rPr>
          <w:iCs/>
          <w:i/>
        </w:rPr>
        <w:t xml:space="preserve">p</w:t>
      </w:r>
      <w:r>
        <w:t xml:space="preserve"> </w:t>
      </w:r>
      <w:r>
        <w:t xml:space="preserve">=</w:t>
      </w:r>
      <w:r>
        <w:t xml:space="preserve"> </w:t>
      </w:r>
      <m:oMath>
        <m:r>
          <m:t>4</m:t>
        </m:r>
        <m:r>
          <m:rPr>
            <m:sty m:val="p"/>
          </m:rPr>
          <m:t>×</m:t>
        </m:r>
        <m:sSup>
          <m:e>
            <m:r>
              <m:t>10</m:t>
            </m:r>
          </m:e>
          <m:sup>
            <m:r>
              <m:rPr>
                <m:sty m:val="p"/>
              </m:rPr>
              <m:t>−</m:t>
            </m:r>
            <m:r>
              <m:t>7</m:t>
            </m:r>
          </m:sup>
        </m:sSup>
      </m:oMath>
      <w:r>
        <w:t xml:space="preserve">) producing the smallest</w:t>
      </w:r>
      <w:r>
        <w:t xml:space="preserve"> </w:t>
      </w:r>
      <w:r>
        <w:rPr>
          <w:iCs/>
          <w:i/>
        </w:rPr>
        <w:t xml:space="preserve">p</w:t>
      </w:r>
      <w:r>
        <w:t xml:space="preserve">-values. Findings from the Stage 2 mega-analysis are illustrated in</w:t>
      </w:r>
      <w:r>
        <w:t xml:space="preserve"> </w:t>
      </w:r>
      <w:r>
        <w:rPr>
          <w:bCs/>
          <w:b/>
        </w:rPr>
        <w:t xml:space="preserve">Figure 2</w:t>
      </w:r>
      <w:r>
        <w:t xml:space="preserve">. Because the ADNI (</w:t>
      </w:r>
      <w:r>
        <w:rPr>
          <w:iCs/>
          <w:i/>
        </w:rPr>
        <w:t xml:space="preserve">n</w:t>
      </w:r>
      <w:r>
        <w:t xml:space="preserve"> </w:t>
      </w:r>
      <w:r>
        <w:t xml:space="preserve">= 47) and ACT (</w:t>
      </w:r>
      <w:r>
        <w:rPr>
          <w:iCs/>
          <w:i/>
        </w:rPr>
        <w:t xml:space="preserve">n</w:t>
      </w:r>
      <w:r>
        <w:t xml:space="preserve"> </w:t>
      </w:r>
      <w:r>
        <w:t xml:space="preserve">= 512) sample sizes were much smaller than those NACC and ROSMAP, we limited the replication attempts in these cohorts to variants meeting a more stringent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which two variants, rs2603462 and rs7902929, met. In the ADNI neuropathology cohort, effects of both rs2603462 (OR [95% confidence interval (CI)] =4.75 [1.42-15.91], P =</w:t>
      </w:r>
      <m:oMath>
        <m:r>
          <m:t>0.012</m:t>
        </m:r>
      </m:oMath>
      <w:r>
        <w:t xml:space="preserve">) and rs7902929 (OR [95% CI] =26.49 [2.07-338.8],</w:t>
      </w:r>
      <w:r>
        <w:t xml:space="preserve"> </w:t>
      </w:r>
      <w:r>
        <w:rPr>
          <w:iCs/>
          <w:i/>
        </w:rPr>
        <w:t xml:space="preserve">p</w:t>
      </w:r>
      <w:r>
        <w:t xml:space="preserve"> </w:t>
      </w:r>
      <w:r>
        <w:t xml:space="preserve">=</w:t>
      </w:r>
      <w:r>
        <w:t xml:space="preserve"> </w:t>
      </w:r>
      <m:oMath>
        <m:r>
          <m:t>0.012</m:t>
        </m:r>
      </m:oMath>
      <w:r>
        <w:t xml:space="preserve">) were replicated at the</w:t>
      </w:r>
      <w:r>
        <w:t xml:space="preserve"> </w:t>
      </w:r>
      <w:r>
        <w:rPr>
          <w:iCs/>
          <w:i/>
        </w:rPr>
        <w:t xml:space="preserve">P</w:t>
      </w:r>
      <w:r>
        <w:t xml:space="preserve"> </w:t>
      </w:r>
      <w:r>
        <w:t xml:space="preserve">&lt; 0.05 significance level (Table 3). In the ACT neuropathology cohort, neither variant was significant, and both variants had non-significant effects in the opposite direction than in the other cohorts.</w:t>
      </w:r>
      <w:r>
        <w:t xml:space="preserve"> </w:t>
      </w:r>
      <w:r>
        <w:rPr>
          <w:bCs/>
          <w:b/>
        </w:rPr>
        <w:t xml:space="preserve">rs2603462 was associated with cerebral atherosclerosis in ROSMAP (</w:t>
      </w:r>
      <w:r>
        <w:rPr>
          <w:iCs/>
          <w:i/>
          <w:bCs/>
          <w:b/>
        </w:rPr>
        <w:t xml:space="preserve">p</w:t>
      </w:r>
      <w:r>
        <w:rPr>
          <w:bCs/>
          <w:b/>
        </w:rPr>
        <w:t xml:space="preserve"> </w:t>
      </w:r>
      <w:r>
        <w:rPr>
          <w:bCs/>
          <w:b/>
        </w:rPr>
        <w:t xml:space="preserve">=</w:t>
      </w:r>
      <w:r>
        <w:t xml:space="preserve"> </w:t>
      </w:r>
      <m:oMath>
        <m:r>
          <m:t>0.02</m:t>
        </m:r>
      </m:oMath>
      <w:r>
        <w:t xml:space="preserve">) while rs7902929 was not (</w:t>
      </w:r>
      <w:r>
        <w:rPr>
          <w:iCs/>
          <w:i/>
        </w:rPr>
        <w:t xml:space="preserve">p</w:t>
      </w:r>
      <w:r>
        <w:t xml:space="preserve"> </w:t>
      </w:r>
      <w:r>
        <w:t xml:space="preserve">=</w:t>
      </w:r>
      <w:r>
        <w:t xml:space="preserve"> </w:t>
      </w:r>
      <m:oMath>
        <m:r>
          <m:t>0.56</m:t>
        </m:r>
      </m:oMath>
      <w:r>
        <w:t xml:space="preserve">).</w:t>
      </w:r>
    </w:p>
    <w:p>
      <w:pPr>
        <w:pStyle w:val="BodyText"/>
      </w:pPr>
      <w:r>
        <w:t xml:space="preserve">[insert</w:t>
      </w:r>
      <w:r>
        <w:t xml:space="preserve"> </w:t>
      </w:r>
      <w:r>
        <w:rPr>
          <w:bCs/>
          <w:b/>
        </w:rPr>
        <w:t xml:space="preserve">Figure 2</w:t>
      </w:r>
      <w:r>
        <w:t xml:space="preserve">]</w:t>
      </w:r>
    </w:p>
    <w:p>
      <w:pPr>
        <w:pStyle w:val="BodyText"/>
      </w:pPr>
      <w:r>
        <w:t xml:space="preserve">In the Stage 3 mega-analysis combining the NACC, ROSMAP, ADNI, and ACT cohorts, no variants met the genome-wide significance threshold. A total of nine loci met the threshold for suggestive significance (Table 4), of which five were identified in Stage 2, while four were novel loci. Both rs2603462 and rs7902929 met the suggestive threshold.</w:t>
      </w:r>
    </w:p>
    <w:bookmarkEnd w:id="45"/>
    <w:bookmarkStart w:id="46" w:name="gene-based-analysis"/>
    <w:p>
      <w:pPr>
        <w:pStyle w:val="Heading2"/>
      </w:pPr>
      <w:r>
        <w:t xml:space="preserve">Gene-based analysis</w:t>
      </w:r>
    </w:p>
    <w:p>
      <w:pPr>
        <w:pStyle w:val="FirstParagraph"/>
      </w:pPr>
      <w:r>
        <w:t xml:space="preserve">In the gene-based analysis, no genes achieved Bonferroni-adjusted significance (</w:t>
      </w:r>
      <w:r>
        <w:rPr>
          <w:iCs/>
          <w:i/>
        </w:rPr>
        <w:t xml:space="preserve">p</w:t>
      </w:r>
      <w:r>
        <w:t xml:space="preserve"> </w:t>
      </w:r>
      <w:r>
        <w:t xml:space="preserve">&lt;</w:t>
      </w:r>
      <w:r>
        <w:t xml:space="preserve"> </w:t>
      </w:r>
      <m:oMath>
        <m:r>
          <m:t>2.5</m:t>
        </m:r>
        <m:r>
          <m:rPr>
            <m:sty m:val="p"/>
          </m:rPr>
          <m:t>×</m:t>
        </m:r>
        <m:sSup>
          <m:e>
            <m:r>
              <m:t>10</m:t>
            </m:r>
          </m:e>
          <m:sup>
            <m:r>
              <m:rPr>
                <m:sty m:val="p"/>
              </m:rPr>
              <m:t>−</m:t>
            </m:r>
            <m:r>
              <m:t>6</m:t>
            </m:r>
          </m:sup>
        </m:sSup>
      </m:oMath>
      <w:r>
        <w:t xml:space="preserve">).</w:t>
      </w:r>
      <w:r>
        <w:t xml:space="preserve"> </w:t>
      </w:r>
      <w:r>
        <w:rPr>
          <w:iCs/>
          <w:i/>
        </w:rPr>
        <w:t xml:space="preserve">SORCS1</w:t>
      </w:r>
      <w:r>
        <w:t xml:space="preserve"> </w:t>
      </w:r>
      <w:r>
        <w:t xml:space="preserve">(</w:t>
      </w:r>
      <w:r>
        <w:rPr>
          <w:iCs/>
          <w:i/>
        </w:rPr>
        <w:t xml:space="preserve">p</w:t>
      </w:r>
      <w:r>
        <w:t xml:space="preserve"> </w:t>
      </w:r>
      <w:r>
        <w:t xml:space="preserve">= 5.5</w:t>
      </w:r>
      <w:r>
        <w:t xml:space="preserve">^{-5}) achieved the smallest</w:t>
      </w:r>
      <w:r>
        <w:t xml:space="preserve"> </w:t>
      </w:r>
      <w:r>
        <w:rPr>
          <w:iCs/>
          <w:i/>
        </w:rPr>
        <w:t xml:space="preserve">p</w:t>
      </w:r>
      <w:r>
        <w:t xml:space="preserve">-value of any gene, while the adjacent</w:t>
      </w:r>
      <w:r>
        <w:t xml:space="preserve"> </w:t>
      </w:r>
      <w:r>
        <w:rPr>
          <w:iCs/>
          <w:i/>
        </w:rPr>
        <w:t xml:space="preserve">SORCS3</w:t>
      </w:r>
      <w:r>
        <w:t xml:space="preserve"> </w:t>
      </w:r>
      <w:r>
        <w:t xml:space="preserve">gene</w:t>
      </w:r>
      <w:r>
        <w:t xml:space="preserve"> </w:t>
      </w:r>
      <w:r>
        <w:rPr>
          <w:iCs/>
          <w:i/>
        </w:rPr>
        <w:t xml:space="preserve">p</w:t>
      </w:r>
      <w:r>
        <w:t xml:space="preserve">-value was somewhat larger (</w:t>
      </w:r>
      <w:r>
        <w:rPr>
          <w:iCs/>
          <w:i/>
        </w:rPr>
        <w:t xml:space="preserve">p</w:t>
      </w:r>
      <w:r>
        <w:t xml:space="preserve"> </w:t>
      </w:r>
      <w:r>
        <w:t xml:space="preserve">= 0.0083, Supplementary Table S3).</w:t>
      </w:r>
    </w:p>
    <w:bookmarkEnd w:id="46"/>
    <w:bookmarkStart w:id="47" w:name="colocalization-analyses-1"/>
    <w:p>
      <w:pPr>
        <w:pStyle w:val="Heading2"/>
      </w:pPr>
      <w:r>
        <w:t xml:space="preserve">Colocalization analyses</w:t>
      </w:r>
    </w:p>
    <w:p>
      <w:pPr>
        <w:pStyle w:val="FirstParagraph"/>
      </w:pPr>
      <w:r>
        <w:t xml:space="preserve">In the Stage 3 mega-analysis, four suggestive variants were significant QTLs for four genes across eight tissues in GTEx, leading us to perform colocalization analyses for a total of 10 phenotype-tissue combinations. Of these, seven met our evidential threshold of PPH4 &gt; 50% for colocalization. The strongest evidence for colocalization was found for</w:t>
      </w:r>
      <w:r>
        <w:t xml:space="preserve"> </w:t>
      </w:r>
      <w:r>
        <w:rPr>
          <w:iCs/>
          <w:i/>
        </w:rPr>
        <w:t xml:space="preserve">WASF3</w:t>
      </w:r>
      <w:r>
        <w:t xml:space="preserve"> </w:t>
      </w:r>
      <w:r>
        <w:t xml:space="preserve">expression, which colocalized with B-ASC risk across three brain regions, including the basal ganglia (PPH4 = 94.8%). Preferential splicing of</w:t>
      </w:r>
      <w:r>
        <w:t xml:space="preserve"> </w:t>
      </w:r>
      <w:r>
        <w:rPr>
          <w:iCs/>
          <w:i/>
        </w:rPr>
        <w:t xml:space="preserve">WASF3</w:t>
      </w:r>
      <w:r>
        <w:t xml:space="preserve"> </w:t>
      </w:r>
      <w:r>
        <w:t xml:space="preserve">in fibroblasts colocalized with PPH4 = 85.1% (Table 5).</w:t>
      </w:r>
      <w:r>
        <w:t xml:space="preserve"> </w:t>
      </w:r>
      <w:r>
        <w:rPr>
          <w:iCs/>
          <w:i/>
        </w:rPr>
        <w:t xml:space="preserve">NSD1</w:t>
      </w:r>
      <w:r>
        <w:t xml:space="preserve"> </w:t>
      </w:r>
      <w:r>
        <w:t xml:space="preserve">colocalized with B-ASC risk in the atrial appendage (PPH4 = 94.5%).</w:t>
      </w:r>
      <w:r>
        <w:t xml:space="preserve"> </w:t>
      </w:r>
      <w:r>
        <w:rPr>
          <w:iCs/>
          <w:i/>
        </w:rPr>
        <w:t xml:space="preserve">ELOVL4</w:t>
      </w:r>
      <w:r>
        <w:t xml:space="preserve"> </w:t>
      </w:r>
      <w:r>
        <w:t xml:space="preserve">expression in the cerebellar hemisphere colocalized with B-ASC risk with a PPH4 of 90.1%. Finally,</w:t>
      </w:r>
      <w:r>
        <w:t xml:space="preserve"> </w:t>
      </w:r>
      <w:r>
        <w:rPr>
          <w:iCs/>
          <w:i/>
        </w:rPr>
        <w:t xml:space="preserve">RIN2</w:t>
      </w:r>
      <w:r>
        <w:t xml:space="preserve"> </w:t>
      </w:r>
      <w:r>
        <w:t xml:space="preserve">expression colocalized with B-ASC risk in the Thyroid (PPH4 = 94.5%).</w:t>
      </w:r>
    </w:p>
    <w:bookmarkEnd w:id="47"/>
    <w:bookmarkStart w:id="48" w:name="mediation-analyses-1"/>
    <w:p>
      <w:pPr>
        <w:pStyle w:val="Heading2"/>
      </w:pPr>
      <w:r>
        <w:t xml:space="preserve">Mediation analyses</w:t>
      </w:r>
    </w:p>
    <w:p>
      <w:pPr>
        <w:pStyle w:val="FirstParagraph"/>
      </w:pPr>
      <w:r>
        <w:t xml:space="preserve">In the subset of our NACC participants who had clinical data for DM (</w:t>
      </w:r>
      <w:r>
        <w:rPr>
          <w:iCs/>
          <w:i/>
        </w:rPr>
        <w:t xml:space="preserve">n</w:t>
      </w:r>
      <w:r>
        <w:t xml:space="preserve"> </w:t>
      </w:r>
      <w:r>
        <w:t xml:space="preserve">= 1725) and HTN (</w:t>
      </w:r>
      <w:r>
        <w:rPr>
          <w:iCs/>
          <w:i/>
        </w:rPr>
        <w:t xml:space="preserve">n</w:t>
      </w:r>
      <w:r>
        <w:t xml:space="preserve"> </w:t>
      </w:r>
      <w:r>
        <w:t xml:space="preserve">= 1726) status, none of the suggestive variants were associated with HTN or DM at the</w:t>
      </w:r>
      <w:r>
        <w:t xml:space="preserve"> </w:t>
      </w:r>
      <w:r>
        <w:rPr>
          <w:iCs/>
          <w:i/>
        </w:rPr>
        <w:t xml:space="preserve">p</w:t>
      </w:r>
      <w:r>
        <w:t xml:space="preserve"> </w:t>
      </w:r>
      <w:r>
        <w:t xml:space="preserve">&lt; 0.05 level, and all variant effect sizes in regressions including HTN or DM were within the 95% confidence intervals in the base model excluding them.</w:t>
      </w:r>
    </w:p>
    <w:bookmarkEnd w:id="48"/>
    <w:bookmarkStart w:id="49" w:name="sensitivity-analyses-1"/>
    <w:p>
      <w:pPr>
        <w:pStyle w:val="Heading2"/>
      </w:pPr>
      <w:r>
        <w:t xml:space="preserve">Sensitivity analyses</w:t>
      </w:r>
    </w:p>
    <w:p>
      <w:pPr>
        <w:pStyle w:val="FirstParagraph"/>
      </w:pPr>
      <w:r>
        <w:t xml:space="preserve">In the analysis using only participants with an age at death of 80 years or older, no variants achieved genome-wide significance. In the NACC analysis, we identified 12 independent loci that met the suggestive threshold. No suggestive variants from the NACC analyses were validated in the ROSMAP analyses at the</w:t>
      </w:r>
      <w:r>
        <w:t xml:space="preserve"> </w:t>
      </w:r>
      <w:r>
        <w:rPr>
          <w:iCs/>
          <w:i/>
        </w:rPr>
        <w:t xml:space="preserve">p</w:t>
      </w:r>
      <w:r>
        <w:t xml:space="preserve"> </w:t>
      </w:r>
      <w:r>
        <w:t xml:space="preserve">&lt; 0.05 significance threshold (Supplementary Table S2). Performing fixed-effects meta-analysis on the NACC ADGC genotyping cohorts produced nearly identical effect sizes and</w:t>
      </w:r>
      <w:r>
        <w:t xml:space="preserve"> </w:t>
      </w:r>
      <w:r>
        <w:rPr>
          <w:iCs/>
          <w:i/>
        </w:rPr>
        <w:t xml:space="preserve">p</w:t>
      </w:r>
      <w:r>
        <w:t xml:space="preserve">-values compared to including indicator variables for the non-reference cohorts in our primary analysis. Similarly, including the participants originally excluded due to relatedness did not produce notably different effect sizes or</w:t>
      </w:r>
      <w:r>
        <w:t xml:space="preserve"> </w:t>
      </w:r>
      <w:r>
        <w:rPr>
          <w:iCs/>
          <w:i/>
        </w:rPr>
        <w:t xml:space="preserve">p</w:t>
      </w:r>
      <w:r>
        <w:t xml:space="preserve">-values for any of the suggestive variants.</w:t>
      </w:r>
    </w:p>
    <w:bookmarkEnd w:id="49"/>
    <w:bookmarkEnd w:id="50"/>
    <w:bookmarkStart w:id="53" w:name="discussion"/>
    <w:p>
      <w:pPr>
        <w:pStyle w:val="Heading1"/>
      </w:pPr>
      <w:r>
        <w:t xml:space="preserve">Discussion</w:t>
      </w:r>
    </w:p>
    <w:p>
      <w:pPr>
        <w:pStyle w:val="FirstParagraph"/>
      </w:pPr>
      <w:r>
        <w:t xml:space="preserve">The present study constituted the first GWAS of autopsy-proven B-ASC using neuropathology and genotype data from four large autopsy cohorts. A significant association was found between one locus on Chromosome 6 and B-ASC in the Stage 1 NACC GWAS (</w:t>
      </w:r>
      <w:r>
        <w:rPr>
          <w:iCs/>
          <w:i/>
        </w:rPr>
        <w:t xml:space="preserve">p</w:t>
      </w:r>
      <w:r>
        <w:t xml:space="preserve"> </w:t>
      </w:r>
      <w:r>
        <w:t xml:space="preserve">=</w:t>
      </w:r>
      <w:r>
        <w:t xml:space="preserve"> </w:t>
      </w:r>
      <m:oMath>
        <m:r>
          <m:t>2.5</m:t>
        </m:r>
        <m:r>
          <m:rPr>
            <m:sty m:val="p"/>
          </m:rPr>
          <m:t>×</m:t>
        </m:r>
        <m:sSup>
          <m:e>
            <m:r>
              <m:t>10</m:t>
            </m:r>
          </m:e>
          <m:sup>
            <m:r>
              <m:rPr>
                <m:sty m:val="p"/>
              </m:rPr>
              <m:t>−</m:t>
            </m:r>
            <m:r>
              <m:t>8</m:t>
            </m:r>
          </m:sup>
        </m:sSup>
      </m:oMath>
      <w:r>
        <w:t xml:space="preserve">). In the Stage 3 mega-analysis of all four cohorts, this locus colocalized with</w:t>
      </w:r>
      <w:r>
        <w:t xml:space="preserve"> </w:t>
      </w:r>
      <w:r>
        <w:rPr>
          <w:iCs/>
          <w:i/>
        </w:rPr>
        <w:t xml:space="preserve">ELOVL4</w:t>
      </w:r>
      <w:r>
        <w:t xml:space="preserve"> </w:t>
      </w:r>
      <w:r>
        <w:t xml:space="preserve">gene expression in GTEx (PPH4 = 90.1%), providing evidence that this locus may affect B-ASC risk through mediating</w:t>
      </w:r>
      <w:r>
        <w:t xml:space="preserve"> </w:t>
      </w:r>
      <w:r>
        <w:rPr>
          <w:iCs/>
          <w:i/>
        </w:rPr>
        <w:t xml:space="preserve">ELOVL4</w:t>
      </w:r>
      <w:r>
        <w:t xml:space="preserve"> </w:t>
      </w:r>
      <w:r>
        <w:t xml:space="preserve">expression (Table 5). Another locus on Chromosome 10 near</w:t>
      </w:r>
      <w:r>
        <w:t xml:space="preserve"> </w:t>
      </w:r>
      <w:r>
        <w:rPr>
          <w:iCs/>
          <w:i/>
        </w:rPr>
        <w:t xml:space="preserve">SORCS3</w:t>
      </w:r>
      <w:r>
        <w:t xml:space="preserve"> </w:t>
      </w:r>
      <w:r>
        <w:t xml:space="preserve">suggestively associated with B-ASC was replicated in the ROSMAP cohort. These variants’ effects were also replicated in the ADNI cohort, but failed to replicate in the ACT cohort (Table 3). We also found suggestive evidence for association between other loci and B-ASC risk in both cohorts and that some of these loci colocalize with gene eQTL and sQTL in the GTEx data.</w:t>
      </w:r>
    </w:p>
    <w:bookmarkStart w:id="51" w:name="elovl4-sorcs1-and-sorcs3-loci"/>
    <w:p>
      <w:pPr>
        <w:pStyle w:val="Heading2"/>
      </w:pPr>
      <w:r>
        <w:rPr>
          <w:iCs/>
          <w:i/>
        </w:rPr>
        <w:t xml:space="preserve">ELOVL4</w:t>
      </w:r>
      <w:r>
        <w:t xml:space="preserve">,</w:t>
      </w:r>
      <w:r>
        <w:t xml:space="preserve"> </w:t>
      </w:r>
      <w:r>
        <w:rPr>
          <w:iCs/>
          <w:i/>
        </w:rPr>
        <w:t xml:space="preserve">SORCS1</w:t>
      </w:r>
      <w:r>
        <w:t xml:space="preserve">, and</w:t>
      </w:r>
      <w:r>
        <w:t xml:space="preserve"> </w:t>
      </w:r>
      <w:r>
        <w:rPr>
          <w:iCs/>
          <w:i/>
        </w:rPr>
        <w:t xml:space="preserve">SORCS3 loci</w:t>
      </w:r>
    </w:p>
    <w:p>
      <w:pPr>
        <w:pStyle w:val="FirstParagraph"/>
      </w:pPr>
      <w:r>
        <w:rPr>
          <w:iCs/>
          <w:i/>
        </w:rPr>
        <w:t xml:space="preserve">ELOVL4</w:t>
      </w:r>
      <w:r>
        <w:t xml:space="preserve"> </w:t>
      </w:r>
      <w:r>
        <w:t xml:space="preserve">codes for the elongation of very long chain fatty acids-4 protein, an</w:t>
      </w:r>
      <w:r>
        <w:t xml:space="preserve"> </w:t>
      </w:r>
      <w:r>
        <w:t xml:space="preserve">“</w:t>
      </w:r>
      <w:r>
        <w:t xml:space="preserve">elongase</w:t>
      </w:r>
      <w:r>
        <w:t xml:space="preserve">”</w:t>
      </w:r>
      <w:r>
        <w:t xml:space="preserve"> </w:t>
      </w:r>
      <w:r>
        <w:t xml:space="preserve">enzyme that catalyzes the synthesis of very long chain fatty acids (VLC-FA,</w:t>
      </w:r>
      <w:r>
        <w:t xml:space="preserve"> </w:t>
      </w:r>
      <m:oMath>
        <m:r>
          <m:rPr>
            <m:sty m:val="p"/>
          </m:rPr>
          <m:t>≥</m:t>
        </m:r>
      </m:oMath>
      <w:r>
        <w:t xml:space="preserve"> </w:t>
      </w:r>
      <w:r>
        <w:t xml:space="preserve">28C)</w:t>
      </w:r>
      <w:r>
        <w:t xml:space="preserve"> </w:t>
      </w:r>
      <w:r>
        <w:rPr>
          <w:bCs/>
          <w:b/>
        </w:rPr>
        <w:t xml:space="preserve">(see Supplementary Figure S1 for gene interaction network)</w:t>
      </w:r>
      <w:r>
        <w:t xml:space="preserve">. Much of the research on</w:t>
      </w:r>
      <w:r>
        <w:t xml:space="preserve"> </w:t>
      </w:r>
      <w:r>
        <w:rPr>
          <w:iCs/>
          <w:i/>
        </w:rPr>
        <w:t xml:space="preserve">ELOVL4</w:t>
      </w:r>
      <w:r>
        <w:t xml:space="preserve"> </w:t>
      </w:r>
      <w:r>
        <w:t xml:space="preserve">has focused on its association with Mendelian diseases affecting the visual and nervous systems, such as Stargardt-like macular dystrophy and spinocerebellar ataxia.</w:t>
      </w:r>
      <w:hyperlink w:anchor="ref-hopiavuori2019">
        <w:r>
          <w:rPr>
            <w:rStyle w:val="Hyperlink"/>
            <w:vertAlign w:val="superscript"/>
          </w:rPr>
          <w:t xml:space="preserve">47</w:t>
        </w:r>
      </w:hyperlink>
      <w:r>
        <w:t xml:space="preserve"> </w:t>
      </w:r>
      <w:r>
        <w:rPr>
          <w:bCs/>
          <w:b/>
        </w:rPr>
        <w:t xml:space="preserve">In mice,</w:t>
      </w:r>
      <w:r>
        <w:rPr>
          <w:bCs/>
          <w:b/>
        </w:rPr>
        <w:t xml:space="preserve"> </w:t>
      </w:r>
      <w:r>
        <w:rPr>
          <w:iCs/>
          <w:i/>
          <w:bCs/>
          <w:b/>
        </w:rPr>
        <w:t xml:space="preserve">ELOVL4</w:t>
      </w:r>
      <w:r>
        <w:rPr>
          <w:bCs/>
          <w:b/>
        </w:rPr>
        <w:t xml:space="preserve"> </w:t>
      </w:r>
      <w:r>
        <w:rPr>
          <w:bCs/>
          <w:b/>
        </w:rPr>
        <w:t xml:space="preserve">knockouts showed significantly different distributions of VLCFA in brain tissue compared to wild-types.</w:t>
      </w:r>
      <w:hyperlink w:anchor="ref-vasireddy2008">
        <w:r>
          <w:rPr>
            <w:rStyle w:val="Hyperlink"/>
            <w:vertAlign w:val="superscript"/>
            <w:bCs/>
            <w:b/>
          </w:rPr>
          <w:t xml:space="preserve">48</w:t>
        </w:r>
      </w:hyperlink>
      <w:r>
        <w:rPr>
          <w:bCs/>
          <w:b/>
        </w:rPr>
        <w:t xml:space="preserve"> Mutant</w:t>
      </w:r>
      <w:r>
        <w:rPr>
          <w:bCs/>
          <w:b/>
        </w:rPr>
        <w:t xml:space="preserve"> </w:t>
      </w:r>
      <w:r>
        <w:rPr>
          <w:iCs/>
          <w:i/>
          <w:bCs/>
          <w:b/>
        </w:rPr>
        <w:t xml:space="preserve">ELOVL4</w:t>
      </w:r>
      <w:r>
        <w:rPr>
          <w:bCs/>
          <w:b/>
        </w:rPr>
        <w:t xml:space="preserve"> </w:t>
      </w:r>
      <w:r>
        <w:rPr>
          <w:bCs/>
          <w:b/>
        </w:rPr>
        <w:t xml:space="preserve">mice show significantly increased brain metabolic activity compared to wild-types, increasing glucose uptake by 3-fold without concurrent changes to blood-brain barrier integrity.</w:t>
      </w:r>
      <w:hyperlink w:anchor="ref-hopiavuori2019">
        <w:r>
          <w:rPr>
            <w:rStyle w:val="Hyperlink"/>
            <w:vertAlign w:val="superscript"/>
            <w:bCs/>
            <w:b/>
          </w:rPr>
          <w:t xml:space="preserve">47</w:t>
        </w:r>
      </w:hyperlink>
      <w:r>
        <w:rPr>
          <w:bCs/>
          <w:b/>
        </w:rPr>
        <w:t xml:space="preserve"> Results also show that mutant mice had absent VLC-FA in synaptic vesicles, resulting in more erratic release of neurotransmitters.</w:t>
      </w:r>
      <w:hyperlink w:anchor="ref-hopiavuori2019">
        <w:r>
          <w:rPr>
            <w:rStyle w:val="Hyperlink"/>
            <w:vertAlign w:val="superscript"/>
            <w:bCs/>
            <w:b/>
          </w:rPr>
          <w:t xml:space="preserve">47</w:t>
        </w:r>
      </w:hyperlink>
      <w:r>
        <w:t xml:space="preserve"> </w:t>
      </w:r>
      <w:r>
        <w:rPr>
          <w:bCs/>
          <w:b/>
        </w:rPr>
        <w:t xml:space="preserve">These studies demonstrate that</w:t>
      </w:r>
      <w:r>
        <w:rPr>
          <w:bCs/>
          <w:b/>
        </w:rPr>
        <w:t xml:space="preserve"> </w:t>
      </w:r>
      <w:r>
        <w:rPr>
          <w:iCs/>
          <w:i/>
          <w:bCs/>
          <w:b/>
        </w:rPr>
        <w:t xml:space="preserve">ELOVL4</w:t>
      </w:r>
      <w:r>
        <w:rPr>
          <w:bCs/>
          <w:b/>
        </w:rPr>
        <w:t xml:space="preserve"> </w:t>
      </w:r>
      <w:r>
        <w:rPr>
          <w:bCs/>
          <w:b/>
        </w:rPr>
        <w:t xml:space="preserve">plays a critical role in VLC-FA metabolism, which are in turn necessary for proper central nervous system functioning.</w:t>
      </w:r>
    </w:p>
    <w:p>
      <w:pPr>
        <w:pStyle w:val="BodyText"/>
      </w:pPr>
      <w:r>
        <w:rPr>
          <w:bCs/>
          <w:b/>
        </w:rPr>
        <w:t xml:space="preserve">While the</w:t>
      </w:r>
      <w:r>
        <w:rPr>
          <w:bCs/>
          <w:b/>
        </w:rPr>
        <w:t xml:space="preserve"> </w:t>
      </w:r>
      <w:r>
        <w:rPr>
          <w:iCs/>
          <w:i/>
          <w:bCs/>
          <w:b/>
        </w:rPr>
        <w:t xml:space="preserve">ELOVL4</w:t>
      </w:r>
      <w:r>
        <w:rPr>
          <w:bCs/>
          <w:b/>
        </w:rPr>
        <w:t xml:space="preserve"> </w:t>
      </w:r>
      <w:r>
        <w:rPr>
          <w:bCs/>
          <w:b/>
        </w:rPr>
        <w:t xml:space="preserve">mutations studied in basic science work have largely been loss-of-function mutations that cause highly penetrant monogenic disease, recent genomics works expands the role of</w:t>
      </w:r>
      <w:r>
        <w:rPr>
          <w:bCs/>
          <w:b/>
        </w:rPr>
        <w:t xml:space="preserve"> </w:t>
      </w:r>
      <w:r>
        <w:rPr>
          <w:iCs/>
          <w:i/>
          <w:bCs/>
          <w:b/>
        </w:rPr>
        <w:t xml:space="preserve">ELOVL4</w:t>
      </w:r>
      <w:r>
        <w:rPr>
          <w:bCs/>
          <w:b/>
        </w:rPr>
        <w:t xml:space="preserve"> </w:t>
      </w:r>
      <w:r>
        <w:rPr>
          <w:bCs/>
          <w:b/>
        </w:rPr>
        <w:t xml:space="preserve">as a contributor to polygenic traits.</w:t>
      </w:r>
      <w:r>
        <w:t xml:space="preserve"> </w:t>
      </w:r>
      <w:r>
        <w:t xml:space="preserve">In GTEx,</w:t>
      </w:r>
      <w:r>
        <w:t xml:space="preserve"> </w:t>
      </w:r>
      <w:r>
        <w:rPr>
          <w:iCs/>
          <w:i/>
        </w:rPr>
        <w:t xml:space="preserve">ELOVL4</w:t>
      </w:r>
      <w:r>
        <w:t xml:space="preserve"> </w:t>
      </w:r>
      <w:r>
        <w:t xml:space="preserve">is more highly expressed in the brain (median transcripts per kilobase million [TPM] 5.5-43.9) relative to most other tissues. Two recent studies found genome-wide significant associations between variants mapped to</w:t>
      </w:r>
      <w:r>
        <w:t xml:space="preserve"> </w:t>
      </w:r>
      <w:r>
        <w:rPr>
          <w:iCs/>
          <w:i/>
        </w:rPr>
        <w:t xml:space="preserve">ELOVL4</w:t>
      </w:r>
      <w:r>
        <w:t xml:space="preserve"> </w:t>
      </w:r>
      <w:r>
        <w:t xml:space="preserve">and multiple body weight-related phenotypes, including waist circumference adjusted for body mass index (BMI) (rs76567515, (</w:t>
      </w:r>
      <w:r>
        <w:rPr>
          <w:iCs/>
          <w:i/>
        </w:rPr>
        <w:t xml:space="preserve">p</w:t>
      </w:r>
      <w:r>
        <w:t xml:space="preserve"> </w:t>
      </w:r>
      <w:r>
        <w:t xml:space="preserve">=</w:t>
      </w:r>
      <w:r>
        <w:t xml:space="preserve"> </w:t>
      </w:r>
      <m:oMath>
        <m:r>
          <m:t>2</m:t>
        </m:r>
        <m:r>
          <m:rPr>
            <m:sty m:val="p"/>
          </m:rPr>
          <m:t>×</m:t>
        </m:r>
        <m:sSup>
          <m:e>
            <m:r>
              <m:t>10</m:t>
            </m:r>
          </m:e>
          <m:sup>
            <m:r>
              <m:rPr>
                <m:sty m:val="p"/>
              </m:rPr>
              <m:t>−</m:t>
            </m:r>
            <m:r>
              <m:t>12</m:t>
            </m:r>
          </m:sup>
        </m:sSup>
      </m:oMath>
      <w:r>
        <w:t xml:space="preserve">), waist-to-hip ratio (rs76567515,</w:t>
      </w:r>
      <w:r>
        <w:t xml:space="preserve"> </w:t>
      </w:r>
      <w:r>
        <w:rPr>
          <w:iCs/>
          <w:i/>
        </w:rPr>
        <w:t xml:space="preserve">p</w:t>
      </w:r>
      <w:r>
        <w:t xml:space="preserve"> </w:t>
      </w:r>
      <w:r>
        <w:t xml:space="preserve">=</w:t>
      </w:r>
      <w:r>
        <w:t xml:space="preserve"> </w:t>
      </w:r>
      <m:oMath>
        <m:r>
          <m:t>3</m:t>
        </m:r>
        <m:r>
          <m:rPr>
            <m:sty m:val="p"/>
          </m:rPr>
          <m:t>×</m:t>
        </m:r>
        <m:sSup>
          <m:e>
            <m:r>
              <m:t>10</m:t>
            </m:r>
          </m:e>
          <m:sup>
            <m:r>
              <m:rPr>
                <m:sty m:val="p"/>
              </m:rPr>
              <m:t>−</m:t>
            </m:r>
            <m:r>
              <m:t>10</m:t>
            </m:r>
          </m:sup>
        </m:sSup>
      </m:oMath>
      <w:r>
        <w:t xml:space="preserve">), and waist-to-hip ratio adjusted for BMI (rs1849275,</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9</m:t>
            </m:r>
          </m:sup>
        </m:sSup>
      </m:oMath>
      <w:r>
        <w:t xml:space="preserve">).</w:t>
      </w:r>
      <w:hyperlink w:anchor="ref-buniello2019">
        <w:r>
          <w:rPr>
            <w:rStyle w:val="Hyperlink"/>
            <w:vertAlign w:val="superscript"/>
          </w:rPr>
          <w:t xml:space="preserve">11</w:t>
        </w:r>
      </w:hyperlink>
      <w:r>
        <w:rPr>
          <w:vertAlign w:val="superscript"/>
        </w:rPr>
        <w:t xml:space="preserve">,</w:t>
      </w:r>
      <w:hyperlink w:anchor="ref-zhu2020">
        <w:r>
          <w:rPr>
            <w:rStyle w:val="Hyperlink"/>
            <w:vertAlign w:val="superscript"/>
          </w:rPr>
          <w:t xml:space="preserve">49</w:t>
        </w:r>
      </w:hyperlink>
      <w:r>
        <w:rPr>
          <w:vertAlign w:val="superscript"/>
        </w:rPr>
        <w:t xml:space="preserve">,</w:t>
      </w:r>
      <w:hyperlink w:anchor="ref-kichaev2019">
        <w:r>
          <w:rPr>
            <w:rStyle w:val="Hyperlink"/>
            <w:vertAlign w:val="superscript"/>
          </w:rPr>
          <w:t xml:space="preserve">50</w:t>
        </w:r>
      </w:hyperlink>
      <w:r>
        <w:t xml:space="preserve"> These variants were also significant eQTLs for</w:t>
      </w:r>
      <w:r>
        <w:t xml:space="preserve"> </w:t>
      </w:r>
      <w:r>
        <w:rPr>
          <w:iCs/>
          <w:i/>
        </w:rPr>
        <w:t xml:space="preserve">ELOVL4</w:t>
      </w:r>
      <w:r>
        <w:t xml:space="preserve"> </w:t>
      </w:r>
      <w:r>
        <w:t xml:space="preserve">in GTEx, but are each located &gt;200 kb from the locus identified in our study and are not in LD with the lead variant (</w:t>
      </w:r>
      <w:r>
        <w:rPr>
          <w:iCs/>
          <w:i/>
        </w:rPr>
        <w:t xml:space="preserve">r</w:t>
      </w:r>
      <w:r>
        <w:rPr>
          <w:vertAlign w:val="superscript"/>
          <w:iCs/>
          <w:i/>
        </w:rPr>
        <w:t xml:space="preserve">2</w:t>
      </w:r>
      <w:r>
        <w:t xml:space="preserve"> </w:t>
      </w:r>
      <w:r>
        <w:t xml:space="preserve">&lt; 0.05).</w:t>
      </w:r>
      <w:r>
        <w:t xml:space="preserve"> </w:t>
      </w:r>
      <w:r>
        <w:rPr>
          <w:bCs/>
          <w:b/>
        </w:rPr>
        <w:t xml:space="preserve">Interestingly, the lead GWAS variant in our study was also nominally associated with cerebral atherosclerosis in a recent GWAS</w:t>
      </w:r>
      <w:r>
        <w:t xml:space="preserve"> </w:t>
      </w:r>
      <w:r>
        <w:rPr>
          <w:bCs/>
          <w:b/>
        </w:rPr>
        <w:t xml:space="preserve">performed with ROSMAP participants (</w:t>
      </w:r>
      <w:r>
        <w:rPr>
          <w:iCs/>
          <w:i/>
          <w:bCs/>
          <w:b/>
        </w:rPr>
        <w:t xml:space="preserve">p</w:t>
      </w:r>
      <w:r>
        <w:rPr>
          <w:bCs/>
          <w:b/>
        </w:rPr>
        <w:t xml:space="preserve"> </w:t>
      </w:r>
      <w:r>
        <w:rPr>
          <w:bCs/>
          <w:b/>
        </w:rPr>
        <w:t xml:space="preserve">=</w:t>
      </w:r>
      <w:r>
        <w:t xml:space="preserve"> </w:t>
      </w:r>
      <m:oMath>
        <m:r>
          <m:t>0.02</m:t>
        </m:r>
      </m:oMath>
      <w:r>
        <w:t xml:space="preserve">)</w:t>
      </w:r>
      <w:r>
        <w:t xml:space="preserve"> </w:t>
      </w:r>
      <w:r>
        <w:rPr>
          <w:bCs/>
          <w:b/>
        </w:rPr>
        <w:t xml:space="preserve">[</w:t>
      </w:r>
      <w:hyperlink w:anchor="ref-vattathil2021">
        <w:r>
          <w:rPr>
            <w:rStyle w:val="Hyperlink"/>
            <w:vertAlign w:val="superscript"/>
            <w:bCs/>
            <w:b/>
          </w:rPr>
          <w:t xml:space="preserve">37</w:t>
        </w:r>
      </w:hyperlink>
      <w:r>
        <w:t xml:space="preserve">]. This result could indicate that</w:t>
      </w:r>
      <w:r>
        <w:t xml:space="preserve"> </w:t>
      </w:r>
      <w:r>
        <w:rPr>
          <w:iCs/>
          <w:i/>
        </w:rPr>
        <w:t xml:space="preserve">ELOVL4</w:t>
      </w:r>
      <w:r>
        <w:t xml:space="preserve"> </w:t>
      </w:r>
      <w:r>
        <w:t xml:space="preserve">may affect large-vessel disease risk in addition to B-ASC.</w:t>
      </w:r>
    </w:p>
    <w:p>
      <w:pPr>
        <w:pStyle w:val="BodyText"/>
      </w:pPr>
      <w:r>
        <w:t xml:space="preserve">Another gene,</w:t>
      </w:r>
      <w:r>
        <w:t xml:space="preserve"> </w:t>
      </w:r>
      <w:r>
        <w:rPr>
          <w:iCs/>
          <w:i/>
        </w:rPr>
        <w:t xml:space="preserve">BCKDHB</w:t>
      </w:r>
      <w:r>
        <w:t xml:space="preserve">, is located closer to the lead GWAS variant than</w:t>
      </w:r>
      <w:r>
        <w:t xml:space="preserve"> </w:t>
      </w:r>
      <w:r>
        <w:rPr>
          <w:iCs/>
          <w:i/>
        </w:rPr>
        <w:t xml:space="preserve">ELOVL4</w:t>
      </w:r>
      <w:r>
        <w:t xml:space="preserve">.</w:t>
      </w:r>
      <w:r>
        <w:t xml:space="preserve"> </w:t>
      </w:r>
      <w:r>
        <w:rPr>
          <w:iCs/>
          <w:i/>
        </w:rPr>
        <w:t xml:space="preserve">BCKDHB</w:t>
      </w:r>
      <w:r>
        <w:t xml:space="preserve"> </w:t>
      </w:r>
      <w:r>
        <w:t xml:space="preserve">is one of three genes responsible for the monogenic metabolism disease Maple Syrup Urine Disease.</w:t>
      </w:r>
      <w:hyperlink w:anchor="ref-strauss1993">
        <w:r>
          <w:rPr>
            <w:rStyle w:val="Hyperlink"/>
            <w:vertAlign w:val="superscript"/>
          </w:rPr>
          <w:t xml:space="preserve">51</w:t>
        </w:r>
      </w:hyperlink>
      <w:r>
        <w:t xml:space="preserve"> Additionally, another suggestive variant in NACC, rs387083, is located between the free fatty acid receptor genes</w:t>
      </w:r>
      <w:r>
        <w:t xml:space="preserve"> </w:t>
      </w:r>
      <w:r>
        <w:rPr>
          <w:iCs/>
          <w:i/>
        </w:rPr>
        <w:t xml:space="preserve">FFAR1</w:t>
      </w:r>
      <w:r>
        <w:t xml:space="preserve"> </w:t>
      </w:r>
      <w:r>
        <w:t xml:space="preserve">and</w:t>
      </w:r>
      <w:r>
        <w:t xml:space="preserve"> </w:t>
      </w:r>
      <w:r>
        <w:rPr>
          <w:iCs/>
          <w:i/>
        </w:rPr>
        <w:t xml:space="preserve">FFAR3</w:t>
      </w:r>
      <w:r>
        <w:t xml:space="preserve"> </w:t>
      </w:r>
      <w:r>
        <w:t xml:space="preserve">on Chromosome 19. This locus acts as an eQTL of</w:t>
      </w:r>
      <w:r>
        <w:t xml:space="preserve"> </w:t>
      </w:r>
      <w:r>
        <w:rPr>
          <w:iCs/>
          <w:i/>
        </w:rPr>
        <w:t xml:space="preserve">FFAR3</w:t>
      </w:r>
      <w:r>
        <w:t xml:space="preserve"> </w:t>
      </w:r>
      <w:r>
        <w:t xml:space="preserve">in the visceral omentum adipose. Collectively, these results suggest that fatty acid metabolism and signaling may play a role in B-ASC risk.</w:t>
      </w:r>
    </w:p>
    <w:p>
      <w:pPr>
        <w:pStyle w:val="BodyText"/>
      </w:pPr>
      <w:r>
        <w:t xml:space="preserve">The suggestive NACC GWAS variant subsequently validated in ROSMAP, rs7902929, is located approximately 212 kb from the 3’ end of the gene</w:t>
      </w:r>
      <w:r>
        <w:t xml:space="preserve"> </w:t>
      </w:r>
      <w:r>
        <w:rPr>
          <w:iCs/>
          <w:i/>
        </w:rPr>
        <w:t xml:space="preserve">SORCS3</w:t>
      </w:r>
      <w:r>
        <w:t xml:space="preserve">. While the genes on which intergenic variants exert their effects are not necessarily the closest genes,</w:t>
      </w:r>
      <w:r>
        <w:t xml:space="preserve"> </w:t>
      </w:r>
      <w:r>
        <w:rPr>
          <w:iCs/>
          <w:i/>
        </w:rPr>
        <w:t xml:space="preserve">SORCS3</w:t>
      </w:r>
      <w:r>
        <w:t xml:space="preserve"> </w:t>
      </w:r>
      <w:r>
        <w:t xml:space="preserve">is the only protein-coding gene within a 1 megabase window from rs7902929</w:t>
      </w:r>
      <w:r>
        <w:t xml:space="preserve"> </w:t>
      </w:r>
      <w:r>
        <w:rPr>
          <w:bCs/>
          <w:b/>
        </w:rPr>
        <w:t xml:space="preserve">(with</w:t>
      </w:r>
      <w:r>
        <w:rPr>
          <w:bCs/>
          <w:b/>
        </w:rPr>
        <w:t xml:space="preserve"> </w:t>
      </w:r>
      <w:r>
        <w:rPr>
          <w:iCs/>
          <w:i/>
          <w:bCs/>
          <w:b/>
        </w:rPr>
        <w:t xml:space="preserve">SORCS1</w:t>
      </w:r>
      <w:r>
        <w:rPr>
          <w:bCs/>
          <w:b/>
        </w:rPr>
        <w:t xml:space="preserve"> </w:t>
      </w:r>
      <w:r>
        <w:rPr>
          <w:bCs/>
          <w:b/>
        </w:rPr>
        <w:t xml:space="preserve">just outside of this range)</w:t>
      </w:r>
      <w:r>
        <w:t xml:space="preserve">, increasing the likelihood that the locus is functionally tied to it.</w:t>
      </w:r>
      <w:r>
        <w:t xml:space="preserve"> </w:t>
      </w:r>
      <w:r>
        <w:rPr>
          <w:iCs/>
          <w:i/>
        </w:rPr>
        <w:t xml:space="preserve">SORCS3</w:t>
      </w:r>
      <w:r>
        <w:t xml:space="preserve"> </w:t>
      </w:r>
      <w:r>
        <w:t xml:space="preserve">codes for the sortilin-related VPS10 domain-containing receptor 3, a vacuolar protein expressed in the brain</w:t>
      </w:r>
      <w:r>
        <w:t xml:space="preserve"> </w:t>
      </w:r>
      <w:r>
        <w:rPr>
          <w:bCs/>
          <w:b/>
        </w:rPr>
        <w:t xml:space="preserve">(see Supplementary Figure S1 for gene interaction network)</w:t>
      </w:r>
      <w:r>
        <w:t xml:space="preserve">.</w:t>
      </w:r>
      <w:hyperlink w:anchor="ref-reitz2013">
        <w:r>
          <w:rPr>
            <w:rStyle w:val="Hyperlink"/>
            <w:vertAlign w:val="superscript"/>
          </w:rPr>
          <w:t xml:space="preserve">52</w:t>
        </w:r>
      </w:hyperlink>
      <w:r>
        <w:rPr>
          <w:vertAlign w:val="superscript"/>
        </w:rPr>
        <w:t xml:space="preserve">,</w:t>
      </w:r>
      <w:hyperlink w:anchor="ref-wang2020">
        <w:r>
          <w:rPr>
            <w:rStyle w:val="Hyperlink"/>
            <w:vertAlign w:val="superscript"/>
          </w:rPr>
          <w:t xml:space="preserve">53</w:t>
        </w:r>
      </w:hyperlink>
      <w:r>
        <w:t xml:space="preserve"> Previous studies using candidate gene designs have provided tentative evidence that genetic variation in</w:t>
      </w:r>
      <w:r>
        <w:t xml:space="preserve"> </w:t>
      </w:r>
      <w:r>
        <w:rPr>
          <w:iCs/>
          <w:i/>
        </w:rPr>
        <w:t xml:space="preserve">SORCS3</w:t>
      </w:r>
      <w:r>
        <w:t xml:space="preserve"> </w:t>
      </w:r>
      <w:r>
        <w:t xml:space="preserve">may be associated with AD.</w:t>
      </w:r>
      <w:hyperlink w:anchor="ref-reitz2013">
        <w:r>
          <w:rPr>
            <w:rStyle w:val="Hyperlink"/>
            <w:vertAlign w:val="superscript"/>
          </w:rPr>
          <w:t xml:space="preserve">52</w:t>
        </w:r>
      </w:hyperlink>
      <w:r>
        <w:rPr>
          <w:vertAlign w:val="superscript"/>
        </w:rPr>
        <w:t xml:space="preserve">,</w:t>
      </w:r>
      <w:hyperlink w:anchor="ref-wang2020">
        <w:r>
          <w:rPr>
            <w:rStyle w:val="Hyperlink"/>
            <w:vertAlign w:val="superscript"/>
          </w:rPr>
          <w:t xml:space="preserve">53</w:t>
        </w:r>
      </w:hyperlink>
      <w:r>
        <w:t xml:space="preserve"> </w:t>
      </w:r>
      <w:r>
        <w:rPr>
          <w:bCs/>
          <w:b/>
        </w:rPr>
        <w:t xml:space="preserve">In a recent GWAS of dementia in women enrolled in the the Women’s Health Initiative,</w:t>
      </w:r>
      <w:hyperlink w:anchor="ref-designo1998">
        <w:r>
          <w:rPr>
            <w:rStyle w:val="Hyperlink"/>
            <w:vertAlign w:val="superscript"/>
            <w:bCs/>
            <w:b/>
          </w:rPr>
          <w:t xml:space="preserve">54</w:t>
        </w:r>
      </w:hyperlink>
      <w:r>
        <w:rPr>
          <w:bCs/>
          <w:b/>
        </w:rPr>
        <w:t xml:space="preserve"> a</w:t>
      </w:r>
      <w:r>
        <w:rPr>
          <w:bCs/>
          <w:b/>
        </w:rPr>
        <w:t xml:space="preserve"> </w:t>
      </w:r>
      <w:r>
        <w:rPr>
          <w:iCs/>
          <w:i/>
          <w:bCs/>
          <w:b/>
        </w:rPr>
        <w:t xml:space="preserve">SORCS3</w:t>
      </w:r>
      <w:r>
        <w:rPr>
          <w:bCs/>
          <w:b/>
        </w:rPr>
        <w:t xml:space="preserve"> </w:t>
      </w:r>
      <w:r>
        <w:rPr>
          <w:bCs/>
          <w:b/>
        </w:rPr>
        <w:t xml:space="preserve">intronic rare variant, rs76590698, was significantly associated with dementia (</w:t>
      </w:r>
      <w:r>
        <w:rPr>
          <w:iCs/>
          <w:i/>
          <w:bCs/>
          <w:b/>
        </w:rPr>
        <w:t xml:space="preserve">p</w:t>
      </w:r>
      <w:r>
        <w:rPr>
          <w:bCs/>
          <w:b/>
        </w:rPr>
        <w:t xml:space="preserve"> </w:t>
      </w:r>
      <w:r>
        <w:rPr>
          <w:bCs/>
          <w:b/>
        </w:rPr>
        <w:t xml:space="preserve">=</w:t>
      </w:r>
      <w:r>
        <w:t xml:space="preserve"> </w:t>
      </w:r>
      <m:oMath>
        <m:r>
          <m:t>2</m:t>
        </m:r>
        <m:r>
          <m:rPr>
            <m:sty m:val="p"/>
          </m:rPr>
          <m:t>×</m:t>
        </m:r>
        <m:sSup>
          <m:e>
            <m:r>
              <m:t>10</m:t>
            </m:r>
          </m:e>
          <m:sup>
            <m:r>
              <m:rPr>
                <m:sty m:val="p"/>
              </m:rPr>
              <m:t>−</m:t>
            </m:r>
            <m:r>
              <m:t>8</m:t>
            </m:r>
          </m:sup>
        </m:sSup>
      </m:oMath>
      <w:r>
        <w:t xml:space="preserve">.</w:t>
      </w:r>
      <w:hyperlink w:anchor="ref-blue2021">
        <w:r>
          <w:rPr>
            <w:rStyle w:val="Hyperlink"/>
            <w:vertAlign w:val="superscript"/>
          </w:rPr>
          <w:t xml:space="preserve">55</w:t>
        </w:r>
      </w:hyperlink>
      <w:r>
        <w:t xml:space="preserve"> In the GWAS Catalog,</w:t>
      </w:r>
      <w:r>
        <w:t xml:space="preserve"> </w:t>
      </w:r>
      <w:r>
        <w:rPr>
          <w:iCs/>
          <w:i/>
        </w:rPr>
        <w:t xml:space="preserve">SORCS3</w:t>
      </w:r>
      <w:r>
        <w:t xml:space="preserve">-mapped variants are significantly associated with multiple cognitively relevant phenotypes, including depressive symptoms (rs1021363,</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13</m:t>
            </m:r>
          </m:sup>
        </m:sSup>
      </m:oMath>
      <w:r>
        <w:t xml:space="preserve">), self-reported educational attainment (rs11599236,</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13</m:t>
            </m:r>
          </m:sup>
        </m:sSup>
      </m:oMath>
      <w:r>
        <w:t xml:space="preserve">), and systolic blood pressure (rs191784289,</w:t>
      </w:r>
      <w:r>
        <w:t xml:space="preserve"> </w:t>
      </w:r>
      <w:r>
        <w:rPr>
          <w:iCs/>
          <w:i/>
        </w:rPr>
        <w:t xml:space="preserve">p</w:t>
      </w:r>
      <w:r>
        <w:t xml:space="preserve"> </w:t>
      </w:r>
      <w:r>
        <w:t xml:space="preserve">=</w:t>
      </w:r>
      <w:r>
        <w:t xml:space="preserve"> </w:t>
      </w:r>
      <m:oMath>
        <m:r>
          <m:t>3</m:t>
        </m:r>
        <m:r>
          <m:rPr>
            <m:sty m:val="p"/>
          </m:rPr>
          <m:t>×</m:t>
        </m:r>
        <m:sSup>
          <m:e>
            <m:r>
              <m:t>10</m:t>
            </m:r>
          </m:e>
          <m:sup>
            <m:r>
              <m:rPr>
                <m:sty m:val="p"/>
              </m:rPr>
              <m:t>−</m:t>
            </m:r>
            <m:r>
              <m:t>13</m:t>
            </m:r>
          </m:sup>
        </m:sSup>
      </m:oMath>
      <w:r>
        <w:t xml:space="preserve">).</w:t>
      </w:r>
      <w:hyperlink w:anchor="ref-kichaev2019">
        <w:r>
          <w:rPr>
            <w:rStyle w:val="Hyperlink"/>
            <w:vertAlign w:val="superscript"/>
          </w:rPr>
          <w:t xml:space="preserve">50</w:t>
        </w:r>
      </w:hyperlink>
      <w:r>
        <w:rPr>
          <w:vertAlign w:val="superscript"/>
        </w:rPr>
        <w:t xml:space="preserve">,</w:t>
      </w:r>
      <w:hyperlink w:anchor="ref-baselmans2019">
        <w:r>
          <w:rPr>
            <w:rStyle w:val="Hyperlink"/>
            <w:vertAlign w:val="superscript"/>
          </w:rPr>
          <w:t xml:space="preserve">56</w:t>
        </w:r>
      </w:hyperlink>
      <w:r>
        <w:rPr>
          <w:vertAlign w:val="superscript"/>
        </w:rPr>
        <w:t xml:space="preserve">,</w:t>
      </w:r>
      <w:hyperlink w:anchor="ref-lee2018">
        <w:r>
          <w:rPr>
            <w:rStyle w:val="Hyperlink"/>
            <w:vertAlign w:val="superscript"/>
          </w:rPr>
          <w:t xml:space="preserve">57</w:t>
        </w:r>
      </w:hyperlink>
    </w:p>
    <w:p>
      <w:pPr>
        <w:pStyle w:val="BodyText"/>
      </w:pPr>
      <w:r>
        <w:t xml:space="preserve">Additionally, a member of the VPS10 family,</w:t>
      </w:r>
      <w:r>
        <w:t xml:space="preserve"> </w:t>
      </w:r>
      <w:r>
        <w:rPr>
          <w:iCs/>
          <w:i/>
        </w:rPr>
        <w:t xml:space="preserve">SORCS1</w:t>
      </w:r>
      <w:r>
        <w:t xml:space="preserve">, achieved the smallest</w:t>
      </w:r>
      <w:r>
        <w:t xml:space="preserve"> </w:t>
      </w:r>
      <w:r>
        <w:rPr>
          <w:iCs/>
          <w:i/>
        </w:rPr>
        <w:t xml:space="preserve">p</w:t>
      </w:r>
      <w:r>
        <w:t xml:space="preserve">-value in the gene-based analysis. We performed a</w:t>
      </w:r>
      <w:r>
        <w:t xml:space="preserve"> </w:t>
      </w:r>
      <w:r>
        <w:rPr>
          <w:iCs/>
          <w:i/>
        </w:rPr>
        <w:t xml:space="preserve">post-hoc</w:t>
      </w:r>
      <w:r>
        <w:t xml:space="preserve"> </w:t>
      </w:r>
      <w:r>
        <w:t xml:space="preserve">analysis of this region and identified two independent loci with lead</w:t>
      </w:r>
      <w:r>
        <w:t xml:space="preserve"> </w:t>
      </w:r>
      <w:r>
        <w:rPr>
          <w:iCs/>
          <w:i/>
        </w:rPr>
        <w:t xml:space="preserve">p</w:t>
      </w:r>
      <w:r>
        <w:t xml:space="preserve">-values just above the suggestive threshold driving this effect: one locus in LD with rs7902929 and one not (</w:t>
      </w:r>
      <w:r>
        <w:rPr>
          <w:iCs/>
          <w:i/>
        </w:rPr>
        <w:t xml:space="preserve">p</w:t>
      </w:r>
      <w:r>
        <w:t xml:space="preserve"> </w:t>
      </w:r>
      <w:r>
        <w:t xml:space="preserve">=</w:t>
      </w:r>
      <w:r>
        <w:t xml:space="preserve"> </w:t>
      </w:r>
      <m:oMath>
        <m:r>
          <m:t>1.2</m:t>
        </m:r>
        <m:r>
          <m:rPr>
            <m:sty m:val="p"/>
          </m:rPr>
          <m:t>×</m:t>
        </m:r>
        <m:sSup>
          <m:e>
            <m:r>
              <m:t>10</m:t>
            </m:r>
          </m:e>
          <m:sup>
            <m:r>
              <m:rPr>
                <m:sty m:val="p"/>
              </m:rPr>
              <m:t>−</m:t>
            </m:r>
            <m:r>
              <m:t>5</m:t>
            </m:r>
          </m:sup>
        </m:sSup>
      </m:oMath>
      <w:r>
        <w:t xml:space="preserve">). We examined the lead variant in the second locus and identified a consistent effect across all four cohorts that was nominally significant in NACC (</w:t>
      </w:r>
      <w:r>
        <w:rPr>
          <w:iCs/>
          <w:i/>
        </w:rPr>
        <w:t xml:space="preserve">p</w:t>
      </w:r>
      <w:r>
        <w:t xml:space="preserve"> </w:t>
      </w:r>
      <w:r>
        <w:t xml:space="preserve">=</w:t>
      </w:r>
      <w:r>
        <w:t xml:space="preserve"> </w:t>
      </w:r>
      <m:oMath>
        <m:r>
          <m:t>1</m:t>
        </m:r>
        <m:r>
          <m:rPr>
            <m:sty m:val="p"/>
          </m:rPr>
          <m:t>×</m:t>
        </m:r>
        <m:sSup>
          <m:e>
            <m:r>
              <m:t>10</m:t>
            </m:r>
          </m:e>
          <m:sup>
            <m:r>
              <m:rPr>
                <m:sty m:val="p"/>
              </m:rPr>
              <m:t>−</m:t>
            </m:r>
            <m:r>
              <m:t>4</m:t>
            </m:r>
          </m:sup>
        </m:sSup>
      </m:oMath>
      <w:r>
        <w:t xml:space="preserve">) and ACT (</w:t>
      </w:r>
      <w:r>
        <w:rPr>
          <w:iCs/>
          <w:i/>
        </w:rPr>
        <w:t xml:space="preserve">p</w:t>
      </w:r>
      <w:r>
        <w:t xml:space="preserve"> </w:t>
      </w:r>
      <w:r>
        <w:t xml:space="preserve">= 0.001), though not in ROSMAP (</w:t>
      </w:r>
      <w:r>
        <w:rPr>
          <w:iCs/>
          <w:i/>
        </w:rPr>
        <w:t xml:space="preserve">p</w:t>
      </w:r>
      <w:r>
        <w:t xml:space="preserve"> </w:t>
      </w:r>
      <w:r>
        <w:t xml:space="preserve">= 0.25) or ADNI (</w:t>
      </w:r>
      <w:r>
        <w:rPr>
          <w:iCs/>
          <w:i/>
        </w:rPr>
        <w:t xml:space="preserve">p</w:t>
      </w:r>
      <w:r>
        <w:t xml:space="preserve"> </w:t>
      </w:r>
      <w:r>
        <w:t xml:space="preserve">= 0.07). Previous studies have identified</w:t>
      </w:r>
      <w:r>
        <w:t xml:space="preserve"> </w:t>
      </w:r>
      <w:r>
        <w:rPr>
          <w:iCs/>
          <w:i/>
        </w:rPr>
        <w:t xml:space="preserve">SORCS1</w:t>
      </w:r>
      <w:r>
        <w:t xml:space="preserve"> </w:t>
      </w:r>
      <w:r>
        <w:t xml:space="preserve">as a potential risk gene for AD.</w:t>
      </w:r>
      <w:hyperlink w:anchor="ref-reitz2013">
        <w:r>
          <w:rPr>
            <w:rStyle w:val="Hyperlink"/>
            <w:vertAlign w:val="superscript"/>
          </w:rPr>
          <w:t xml:space="preserve">52</w:t>
        </w:r>
      </w:hyperlink>
      <w:r>
        <w:rPr>
          <w:vertAlign w:val="superscript"/>
        </w:rPr>
        <w:t xml:space="preserve">,</w:t>
      </w:r>
      <w:hyperlink w:anchor="ref-wang2020">
        <w:r>
          <w:rPr>
            <w:rStyle w:val="Hyperlink"/>
            <w:vertAlign w:val="superscript"/>
          </w:rPr>
          <w:t xml:space="preserve">53</w:t>
        </w:r>
      </w:hyperlink>
      <w:r>
        <w:t xml:space="preserve"> </w:t>
      </w:r>
      <w:r>
        <w:rPr>
          <w:bCs/>
          <w:b/>
        </w:rPr>
        <w:t xml:space="preserve">In mouse models,</w:t>
      </w:r>
      <w:r>
        <w:rPr>
          <w:bCs/>
          <w:b/>
        </w:rPr>
        <w:t xml:space="preserve"> </w:t>
      </w:r>
      <w:r>
        <w:rPr>
          <w:iCs/>
          <w:i/>
          <w:bCs/>
          <w:b/>
        </w:rPr>
        <w:t xml:space="preserve">SORCS1</w:t>
      </w:r>
      <w:r>
        <w:rPr>
          <w:bCs/>
          <w:b/>
        </w:rPr>
        <w:t xml:space="preserve"> </w:t>
      </w:r>
      <w:r>
        <w:rPr>
          <w:bCs/>
          <w:b/>
        </w:rPr>
        <w:t xml:space="preserve">and</w:t>
      </w:r>
      <w:r>
        <w:rPr>
          <w:bCs/>
          <w:b/>
        </w:rPr>
        <w:t xml:space="preserve"> </w:t>
      </w:r>
      <w:r>
        <w:rPr>
          <w:iCs/>
          <w:i/>
          <w:bCs/>
          <w:b/>
        </w:rPr>
        <w:t xml:space="preserve">SORCS3</w:t>
      </w:r>
      <w:r>
        <w:rPr>
          <w:bCs/>
          <w:b/>
        </w:rPr>
        <w:t xml:space="preserve"> </w:t>
      </w:r>
      <w:r>
        <w:rPr>
          <w:bCs/>
          <w:b/>
        </w:rPr>
        <w:t xml:space="preserve">regulate protein transport in neurons and affect metabolism through the regulation of brain-derived neurotropic factor.</w:t>
      </w:r>
      <w:hyperlink w:anchor="ref-subkhangulova2018">
        <w:r>
          <w:rPr>
            <w:rStyle w:val="Hyperlink"/>
            <w:vertAlign w:val="superscript"/>
            <w:bCs/>
            <w:b/>
          </w:rPr>
          <w:t xml:space="preserve">58</w:t>
        </w:r>
      </w:hyperlink>
      <w:r>
        <w:rPr>
          <w:bCs/>
          <w:b/>
        </w:rPr>
        <w:t xml:space="preserve"> </w:t>
      </w:r>
      <w:r>
        <w:rPr>
          <w:iCs/>
          <w:i/>
          <w:bCs/>
          <w:b/>
        </w:rPr>
        <w:t xml:space="preserve">SORCS1</w:t>
      </w:r>
      <w:r>
        <w:rPr>
          <w:bCs/>
          <w:b/>
        </w:rPr>
        <w:t xml:space="preserve"> </w:t>
      </w:r>
      <w:r>
        <w:rPr>
          <w:bCs/>
          <w:b/>
        </w:rPr>
        <w:t xml:space="preserve">and</w:t>
      </w:r>
      <w:r>
        <w:rPr>
          <w:bCs/>
          <w:b/>
        </w:rPr>
        <w:t xml:space="preserve"> </w:t>
      </w:r>
      <w:r>
        <w:rPr>
          <w:iCs/>
          <w:i/>
          <w:bCs/>
          <w:b/>
        </w:rPr>
        <w:t xml:space="preserve">SORCS3</w:t>
      </w:r>
      <w:r>
        <w:rPr>
          <w:bCs/>
          <w:b/>
        </w:rPr>
        <w:t xml:space="preserve"> </w:t>
      </w:r>
      <w:r>
        <w:rPr>
          <w:bCs/>
          <w:b/>
        </w:rPr>
        <w:t xml:space="preserve">are also associated with altered amyloid precursor protein (APP) processing,</w:t>
      </w:r>
      <w:hyperlink w:anchor="ref-reitz2013">
        <w:r>
          <w:rPr>
            <w:rStyle w:val="Hyperlink"/>
            <w:vertAlign w:val="superscript"/>
            <w:bCs/>
            <w:b/>
          </w:rPr>
          <w:t xml:space="preserve">52</w:t>
        </w:r>
      </w:hyperlink>
      <w:r>
        <w:rPr>
          <w:bCs/>
          <w:b/>
        </w:rPr>
        <w:t xml:space="preserve"> and amylodosis causes subsequent downregulation of both genes.</w:t>
      </w:r>
      <w:hyperlink w:anchor="ref-hermey2019">
        <w:r>
          <w:rPr>
            <w:rStyle w:val="Hyperlink"/>
            <w:vertAlign w:val="superscript"/>
            <w:bCs/>
            <w:b/>
          </w:rPr>
          <w:t xml:space="preserve">59</w:t>
        </w:r>
      </w:hyperlink>
      <w:r>
        <w:rPr>
          <w:bCs/>
          <w:b/>
        </w:rPr>
        <w:t xml:space="preserve"> It is possible that the VPS10 family influences B-ASC risk through AD risk, as B-ASC is associated with AD neuropathology,[</w:t>
      </w:r>
      <w:hyperlink w:anchor="ref-arvanitakis2016">
        <w:r>
          <w:rPr>
            <w:rStyle w:val="Hyperlink"/>
            <w:vertAlign w:val="superscript"/>
            <w:bCs/>
            <w:b/>
          </w:rPr>
          <w:t xml:space="preserve">6</w:t>
        </w:r>
      </w:hyperlink>
      <w:r>
        <w:t xml:space="preserve">]</w:t>
      </w:r>
      <w:r>
        <w:t xml:space="preserve"> </w:t>
      </w:r>
      <w:r>
        <w:rPr>
          <w:bCs/>
          <w:b/>
        </w:rPr>
        <w:t xml:space="preserve">though further work should be done to clarify the possible role of the VPS10 family on both phenotypes.</w:t>
      </w:r>
    </w:p>
    <w:bookmarkEnd w:id="51"/>
    <w:bookmarkStart w:id="52" w:name="limitations-and-sources-of-bias"/>
    <w:p>
      <w:pPr>
        <w:pStyle w:val="Heading2"/>
      </w:pPr>
      <w:r>
        <w:t xml:space="preserve">Limitations and sources of bias</w:t>
      </w:r>
    </w:p>
    <w:p>
      <w:pPr>
        <w:pStyle w:val="FirstParagraph"/>
      </w:pPr>
      <w:r>
        <w:t xml:space="preserve">Statistical modeling indicated that none of the effects of top loci in the NACC GWAS appeared to be mediated by HTN or DM status in NACC. This finding has some caveats, including the inconsistent evidence of association between these clinical risk factors and B-ASC pathology.</w:t>
      </w:r>
      <w:hyperlink w:anchor="ref-ighodaro2017">
        <w:r>
          <w:rPr>
            <w:rStyle w:val="Hyperlink"/>
            <w:vertAlign w:val="superscript"/>
          </w:rPr>
          <w:t xml:space="preserve">1</w:t>
        </w:r>
      </w:hyperlink>
      <w:r>
        <w:rPr>
          <w:vertAlign w:val="superscript"/>
        </w:rPr>
        <w:t xml:space="preserve">,</w:t>
      </w:r>
      <w:hyperlink w:anchor="ref-blevins2021">
        <w:r>
          <w:rPr>
            <w:rStyle w:val="Hyperlink"/>
            <w:vertAlign w:val="superscript"/>
          </w:rPr>
          <w:t xml:space="preserve">4</w:t>
        </w:r>
      </w:hyperlink>
      <w:r>
        <w:t xml:space="preserve"> </w:t>
      </w:r>
      <w:r>
        <w:rPr>
          <w:bCs/>
          <w:b/>
        </w:rPr>
        <w:t xml:space="preserve">While HTN and DM may be associated with B-ASC in younger individuals, this association seems to be attenuated or non-existent in older individuals (80 years or older at time of death) [</w:t>
      </w:r>
      <w:hyperlink w:anchor="ref-ighodaro2017">
        <w:r>
          <w:rPr>
            <w:rStyle w:val="Hyperlink"/>
            <w:vertAlign w:val="superscript"/>
            <w:bCs/>
            <w:b/>
          </w:rPr>
          <w:t xml:space="preserve">1</w:t>
        </w:r>
      </w:hyperlink>
      <w:r>
        <w:t xml:space="preserve">]</w:t>
      </w:r>
      <w:r>
        <w:rPr>
          <w:bCs/>
          <w:b/>
        </w:rPr>
        <w:t xml:space="preserve">.</w:t>
      </w:r>
      <w:r>
        <w:t xml:space="preserve"> </w:t>
      </w:r>
      <w:r>
        <w:rPr>
          <w:bCs/>
          <w:b/>
        </w:rPr>
        <w:t xml:space="preserve">Indeed, in the present study, neither HTN nor DM were associated with B-ASC in the individuals used for mediation analysis, making the resulting lack of mediation of genetic risk not surprising.</w:t>
      </w:r>
      <w:r>
        <w:t xml:space="preserve"> </w:t>
      </w:r>
      <w:r>
        <w:t xml:space="preserve">Moreover, this analysis was limited by the substantially smaller sample size (</w:t>
      </w:r>
      <w:r>
        <w:rPr>
          <w:iCs/>
          <w:i/>
        </w:rPr>
        <w:t xml:space="preserve">n</w:t>
      </w:r>
      <w:r>
        <w:t xml:space="preserve"> </w:t>
      </w:r>
      <w:r>
        <w:t xml:space="preserve">= 1726) than that of the Stage 1 GWAS. Additionally, the diagnostic variables in NACC consisted of a mixture of patient self-reports, physician reporting, and use of HTN or DM medications. Future studies employing causal inference methods such as Mendelian randomization may be able to provide clearer evidence for or against the roles of HTN and DM in B-ASC and the mediation of B-ASC genetic risk by clinical risk factors.</w:t>
      </w:r>
    </w:p>
    <w:p>
      <w:pPr>
        <w:pStyle w:val="BodyText"/>
      </w:pPr>
      <w:r>
        <w:t xml:space="preserve">Most genetic loci identified preliminarily as being associated with B-ASC in NACC were not replicated in ROSMAP. This could be potentially explained via the significantly different demographic attributes and study designs between the two cohorts, as ROSMAP participants were older at death and had lower average levels of diagnosed B-ASC pathology (Table 1). Thus, there may be unaccounted-for confounding and differential selection bias between cohorts. For instance, ROS recruits from Catholic sisters and brothers, who are on average more highly educated than the general population. In contrast, the NACC participants are recruited from primarily clinic-based populations across the ADRCs. Differences in study design are also seen in the ADNI cohort, whose recruitment practices resemble those of ADRCs, and in ACT, whose participants are recruited from the aged dementia-free community in the Seattle, WA area.</w:t>
      </w:r>
    </w:p>
    <w:p>
      <w:pPr>
        <w:pStyle w:val="BodyText"/>
      </w:pPr>
      <w:r>
        <w:t xml:space="preserve">Heterogeneity in neuropathological grading of B-ASC in each cohort may also contribute to impairing study power and limiting reproducibility between studies. In one study investigating the inter-rater reliability of cerebrovascular neuropathological diagnoses (i.e., how often neuropathologists agree on diagnosing a given slide), B-ASC had the second-lowest reliability (after microinfarcts), with reliability below 0.8 in five of twelve brain regions graded.</w:t>
      </w:r>
      <w:hyperlink w:anchor="ref-skrobot2016">
        <w:r>
          <w:rPr>
            <w:rStyle w:val="Hyperlink"/>
            <w:vertAlign w:val="superscript"/>
          </w:rPr>
          <w:t xml:space="preserve">60</w:t>
        </w:r>
      </w:hyperlink>
      <w:r>
        <w:t xml:space="preserve"> This relatively low inter-rater diagnostic reliability under near-ideal circumstances (different trained experts reviewing the exact same stained slides) indicates there may be substantial measurement variance in B-ASC between neuropathologists both within and between study centers. Furthermore, B-ASC may be graded in different brain regions in different centers and studies. Of note, in the Stage 3 mega-analysis including all four cohorts, the strongest evidence for colocalization (</w:t>
      </w:r>
      <w:r>
        <w:rPr>
          <w:iCs/>
          <w:i/>
        </w:rPr>
        <w:t xml:space="preserve">WASF3</w:t>
      </w:r>
      <w:r>
        <w:t xml:space="preserve">, PPH4 = 94.8%) was found in the caudate lobe of the basal ganglia, providing preliminary support for this brain region as a potential biological target for genetic B-ASC risk.</w:t>
      </w:r>
    </w:p>
    <w:p>
      <w:pPr>
        <w:pStyle w:val="BodyText"/>
      </w:pPr>
      <w:r>
        <w:t xml:space="preserve">An important limitation of our study is the relatively low sample size for a GWAS. NACC, the largest cohort used, had only 3382 participants available for GWAS, and the total sample size of the Stage 3 mega-analysis with all four cohorts was 5128. In contrast, a recent GWAS meta-analysis of AD exceeded 90,000 participants,</w:t>
      </w:r>
      <w:hyperlink w:anchor="ref-kunkle2019">
        <w:r>
          <w:rPr>
            <w:rStyle w:val="Hyperlink"/>
            <w:vertAlign w:val="superscript"/>
          </w:rPr>
          <w:t xml:space="preserve">61</w:t>
        </w:r>
      </w:hyperlink>
      <w:r>
        <w:t xml:space="preserve"> and GWAS of other phenotypes have exceeded 1 million participants.</w:t>
      </w:r>
      <w:hyperlink w:anchor="ref-lee2018">
        <w:r>
          <w:rPr>
            <w:rStyle w:val="Hyperlink"/>
            <w:vertAlign w:val="superscript"/>
          </w:rPr>
          <w:t xml:space="preserve">57</w:t>
        </w:r>
      </w:hyperlink>
      <w:r>
        <w:t xml:space="preserve"> Nevertheless, smaller GWAS of other neuropathologic endophenotypes have identified risk loci,</w:t>
      </w:r>
      <w:hyperlink w:anchor="ref-katsumata2017">
        <w:r>
          <w:rPr>
            <w:rStyle w:val="Hyperlink"/>
            <w:vertAlign w:val="superscript"/>
          </w:rPr>
          <w:t xml:space="preserve">13</w:t>
        </w:r>
      </w:hyperlink>
      <w:r>
        <w:t xml:space="preserve"> demonstrating that smaller sample sizes do not necessarily prevent discovery, especially for large effect-size phenomena. Despite sample size limitations, one suggestive locus on Chromosome 10 near</w:t>
      </w:r>
      <w:r>
        <w:t xml:space="preserve"> </w:t>
      </w:r>
      <w:r>
        <w:rPr>
          <w:iCs/>
          <w:i/>
        </w:rPr>
        <w:t xml:space="preserve">SORCS3</w:t>
      </w:r>
      <w:r>
        <w:t xml:space="preserve"> </w:t>
      </w:r>
      <w:r>
        <w:t xml:space="preserve">identified in NACC was replicated in ROSMAP, and both this locus and a locus near</w:t>
      </w:r>
      <w:r>
        <w:t xml:space="preserve"> </w:t>
      </w:r>
      <w:r>
        <w:rPr>
          <w:iCs/>
          <w:i/>
        </w:rPr>
        <w:t xml:space="preserve">ELOVL4</w:t>
      </w:r>
      <w:r>
        <w:t xml:space="preserve"> </w:t>
      </w:r>
      <w:r>
        <w:t xml:space="preserve">were replicated in ADNI. Furthermore, nine of eleven loci suggestively associated with B-ASC in NACC had affect sizes in the same direction in ROSMAP, which suggests that these loci may be associated with B-ASC but suffer from suffer from regression towards the mean in the ROSMAP analysis. Finally, the use of downstream analyses can provide additional functional evidence for risk loci that do not meet the conservative Bonferroni-corrected significance thresholds.</w:t>
      </w:r>
    </w:p>
    <w:p>
      <w:r>
        <w:br w:type="page"/>
      </w:r>
    </w:p>
    <w:bookmarkEnd w:id="52"/>
    <w:bookmarkEnd w:id="53"/>
    <w:bookmarkStart w:id="55" w:name="funding-acknowledgements"/>
    <w:p>
      <w:pPr>
        <w:pStyle w:val="Heading1"/>
      </w:pPr>
      <w:r>
        <w:t xml:space="preserve">Funding Acknowledgements</w:t>
      </w:r>
    </w:p>
    <w:p>
      <w:pPr>
        <w:pStyle w:val="FirstParagraph"/>
      </w:pPr>
      <w:r>
        <w:rPr>
          <w:bCs/>
          <w:b/>
        </w:rPr>
        <w:t xml:space="preserve">The author(s) disclosed receipt of the following financial support for the research, authorship, and/or publication of this article:</w:t>
      </w:r>
      <w:r>
        <w:t xml:space="preserve"> </w:t>
      </w:r>
      <w:r>
        <w:t xml:space="preserve">R56AG057191; P30AG028383; the University of Kentucky Center for Clinical and Translational Science TL-1 Fellowship [grant number TLITR001997];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supported by the Alzheimer’s Disease Genetics Consortium through the National Institute of Aging [grant numbers U01 AG032984, RC2AG036528].</w:t>
      </w:r>
    </w:p>
    <w:p>
      <w:pPr>
        <w:pStyle w:val="BodyText"/>
      </w:pPr>
      <w:r>
        <w:t xml:space="preserve">Samples from the National Cell Repository for Alzheimer’s Disease (NCRAD), which receives government support under a cooperative agreement grant (U24 AG21886) awarded by the National Institute on Aging (NIA), were used in this study. We thank contributors who collected samples used in this study, as well as patients and their families, whose help and participation made this work possible;</w:t>
      </w:r>
    </w:p>
    <w:p>
      <w:pPr>
        <w:pStyle w:val="BodyText"/>
      </w:pPr>
      <w:r>
        <w:t xml:space="preserve">Data for this study were prepared, archived, and distributed by the National Institute on Aging Alzheimer’s Disease Data Storage Site (NIAGADS) at the University of Pennsylvania (U24-AG041689-01).</w:t>
      </w:r>
    </w:p>
    <w:p>
      <w:pPr>
        <w:pStyle w:val="BodyText"/>
      </w:pPr>
      <w:r>
        <w:t xml:space="preserve">We thank the study participants and staff of the Rush Alzheimer’s Disease Center. The Religious Orders Study and the Memory and Aging Project are supported by grants from the National Institutes of Health: [grant number P30AG10161, RF1AG15819, R01AG17917, RF1AG22018, R01AG33678, R01AG34374, R01AG36042, R01AG40039, R01AG042210, U01AG46152, R01AG47976, R01AG43379, RF1AG54057, R01AG56352, R01NS78009, and UH2NS100599], and the Illinois Department of Public Health.</w:t>
      </w:r>
    </w:p>
    <w:p>
      <w:pPr>
        <w:pStyle w:val="BodyText"/>
      </w:pPr>
      <w:r>
        <w:t xml:space="preserve">The Adult Changes in Thought Study is funded through the National Institute on Aging [grant number U19AG066567].</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54">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pPr>
        <w:pStyle w:val="BodyText"/>
      </w:pPr>
      <w:r>
        <w:t xml:space="preserve">The NACC database is funded by NIA/NIH Grant U01 AG016976. NACC data are contributed by the NIA-funded ADRCs: P30 AG019610 (PI Eric Reiman, MD), P30 AG013846 (PI Neil Kowall, MD), P50 AG008702 (PI Scott Small, MD), P50 AG025688 (PI Allan Levey, MD, PhD), P50 AG047266 (PI Todd Golde, MD, PhD), P30 AG010133 (PI Andrew Saykin, PsyD), P50 AG005146 (PI Marilyn Albert, PhD), P50 AG005134 (PI Bradley Hyman, MD, PhD), P50 AG016574 (PI Ronald Petersen, MD, PhD), P50 AG005138 (PI Mary Sano, PhD), P30 AG008051 (PI Thomas Wisniewski, MD), P30 AG013854 (PI Robert Vassar, PhD), P30 AG008017 (PI Jeffrey Kaye, MD), P30 AG010161 (PI David Bennett, MD), P50 AG047366 (PI Victor Henderson, MD, MS), P30 AG010129 (PI Charles DeCarli, MD), P50 AG016573 (PI Frank LaFerla, PhD), P50 AG005131 (PI James Brewer, MD, PhD), P50 AG023501 (PI Bruce Miller, MD), P30 AG035982 (PI Russell Swerdlow, MD), P30 AG028383 (PI Linda Van Eldik, PhD), P30 AG053760 (PI Henry Paulson, MD, PhD), P30 AG010124 (PI John Trojanowski, MD, PhD), P50 AG005133 (PI Oscar Lopez, MD), P50 AG005142 (PI Helena Chui, MD), P30 AG012300 (PI Roger Rosenberg, MD), P30 AG049638 (PI Suzanne Craft, PhD), P50 AG005136 (PI Thomas Grabowski, MD), P50 AG033514 (PI Sanjay Asthana, MD, FRCP), P50 AG005681 (PI John Morris, MD), P50 AG047270 (PI Stephen Strittmatter, MD, PhD).</w:t>
      </w:r>
    </w:p>
    <w:bookmarkEnd w:id="55"/>
    <w:bookmarkStart w:id="57" w:name="author-contributions"/>
    <w:p>
      <w:pPr>
        <w:pStyle w:val="Heading1"/>
      </w:pPr>
      <w:r>
        <w:t xml:space="preserve">Author Contributions</w:t>
      </w:r>
    </w:p>
    <w:p>
      <w:pPr>
        <w:pStyle w:val="FirstParagraph"/>
      </w:pPr>
      <w:r>
        <w:t xml:space="preserve">Lincoln M.P. Shade, Yuriko Katsumata, Peter T. Nelson, and David W. Fardo conceived of and carried out the research and drafted the manuscript. Timothy J. Hohman, Julie A. Schneider, Andrew J. Saykin, Shubabrata Mukherjee, Kevin L. Boehme, and John S.K. Kauwe provided data. Shubhabrata Mukherjee assisted with and provided consultation for ACT analyses. Kwangsik Nho and Andrew J. Saykin assisted with and provided consultation for ADNI analyses.</w:t>
      </w:r>
    </w:p>
    <w:p>
      <w:pPr>
        <w:pStyle w:val="BodyText"/>
      </w:pP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56">
        <w:r>
          <w:rPr>
            <w:rStyle w:val="Hyperlink"/>
          </w:rPr>
          <w:t xml:space="preserve">http://adni.loni.usc.edu/wp-content/uploads/how_to_apply/ADNI_Acknowledgement_List.pdf</w:t>
        </w:r>
      </w:hyperlink>
    </w:p>
    <w:bookmarkEnd w:id="57"/>
    <w:bookmarkStart w:id="58" w:name="disclosures"/>
    <w:p>
      <w:pPr>
        <w:pStyle w:val="Heading1"/>
      </w:pPr>
      <w:r>
        <w:t xml:space="preserve">Disclosures</w:t>
      </w:r>
    </w:p>
    <w:p>
      <w:pPr>
        <w:pStyle w:val="FirstParagraph"/>
      </w:pPr>
      <w:r>
        <w:t xml:space="preserve">Andrew J. Saykin receives [F18]Flortaucipir (AV-1451) precursor support from Avid Radiopharmaceuticals. Julie A. Schneider reports personal fees from Avid Radiopharmaceuticals (Eli Lilly Inc.), Alnylam Pharmaceuticals, and the National Hockey League. All other authors declare that they have no conflict of interest.</w:t>
      </w:r>
    </w:p>
    <w:bookmarkEnd w:id="58"/>
    <w:bookmarkStart w:id="61" w:name="supplementary-information"/>
    <w:p>
      <w:pPr>
        <w:pStyle w:val="Heading1"/>
      </w:pPr>
      <w:r>
        <w:t xml:space="preserve">Supplementary Information</w:t>
      </w:r>
    </w:p>
    <w:p>
      <w:pPr>
        <w:pStyle w:val="FirstParagraph"/>
      </w:pPr>
      <w:r>
        <w:t xml:space="preserve">Supplementary material for this paper can be found at the journal website:</w:t>
      </w:r>
      <w:r>
        <w:t xml:space="preserve"> </w:t>
      </w:r>
      <w:hyperlink r:id="rId59">
        <w:r>
          <w:rPr>
            <w:rStyle w:val="Hyperlink"/>
          </w:rPr>
          <w:t xml:space="preserve">http://journals.sagepub.com/home/jcb</w:t>
        </w:r>
      </w:hyperlink>
      <w:r>
        <w:t xml:space="preserve">.</w:t>
      </w:r>
    </w:p>
    <w:p>
      <w:pPr>
        <w:pStyle w:val="BodyText"/>
      </w:pPr>
      <w:r>
        <w:t xml:space="preserve">All code used for this study are available at</w:t>
      </w:r>
      <w:r>
        <w:t xml:space="preserve"> </w:t>
      </w:r>
      <w:hyperlink r:id="rId60">
        <w:r>
          <w:rPr>
            <w:rStyle w:val="Hyperlink"/>
          </w:rPr>
          <w:t xml:space="preserve">https://github.com/lincoln-shade/arter</w:t>
        </w:r>
      </w:hyperlink>
      <w:r>
        <w:t xml:space="preserve">.</w:t>
      </w:r>
    </w:p>
    <w:p>
      <w:pPr>
        <w:pStyle w:val="BodyText"/>
      </w:pPr>
      <w:r>
        <w:t xml:space="preserve">Summary statistics are available upon request.</w:t>
      </w:r>
    </w:p>
    <w:p>
      <w:r>
        <w:br w:type="page"/>
      </w:r>
    </w:p>
    <w:bookmarkEnd w:id="61"/>
    <w:bookmarkStart w:id="135" w:name="references"/>
    <w:p>
      <w:pPr>
        <w:pStyle w:val="Heading1"/>
      </w:pPr>
      <w:r>
        <w:t xml:space="preserve">References</w:t>
      </w:r>
    </w:p>
    <w:bookmarkStart w:id="134" w:name="refs"/>
    <w:bookmarkStart w:id="62" w:name="ref-ighodaro2017"/>
    <w:p>
      <w:pPr>
        <w:pStyle w:val="Bibliography"/>
      </w:pPr>
      <w:r>
        <w:t xml:space="preserve">1.</w:t>
      </w:r>
      <w:r>
        <w:t xml:space="preserve"> </w:t>
      </w:r>
      <w:r>
        <w:t xml:space="preserve">	</w:t>
      </w:r>
      <w:r>
        <w:t xml:space="preserve">Ighodaro ET, Abner EL, Fardo DW, et al. Risk factors and global cognitive status related to brain arteriolosclerosis in elderly individuals.</w:t>
      </w:r>
      <w:r>
        <w:t xml:space="preserve"> </w:t>
      </w:r>
      <w:r>
        <w:rPr>
          <w:iCs/>
          <w:i/>
        </w:rPr>
        <w:t xml:space="preserve">Journal of Cerebral Blood Flow &amp; Metabolism</w:t>
      </w:r>
      <w:r>
        <w:t xml:space="preserve"> </w:t>
      </w:r>
      <w:r>
        <w:t xml:space="preserve">2017; 37: 201–216.</w:t>
      </w:r>
    </w:p>
    <w:bookmarkEnd w:id="62"/>
    <w:bookmarkStart w:id="63" w:name="ref-grinberg2010"/>
    <w:p>
      <w:pPr>
        <w:pStyle w:val="Bibliography"/>
      </w:pPr>
      <w:r>
        <w:t xml:space="preserve">2.</w:t>
      </w:r>
      <w:r>
        <w:t xml:space="preserve"> </w:t>
      </w:r>
      <w:r>
        <w:t xml:space="preserve">	</w:t>
      </w:r>
      <w:r>
        <w:t xml:space="preserve">Grinberg LT, Thal DR. Vascular pathology in the aged human brain.</w:t>
      </w:r>
      <w:r>
        <w:t xml:space="preserve"> </w:t>
      </w:r>
      <w:r>
        <w:rPr>
          <w:iCs/>
          <w:i/>
        </w:rPr>
        <w:t xml:space="preserve">Acta Neuropathologica</w:t>
      </w:r>
      <w:r>
        <w:t xml:space="preserve"> </w:t>
      </w:r>
      <w:r>
        <w:t xml:space="preserve">2010; 119: 277–290.</w:t>
      </w:r>
    </w:p>
    <w:bookmarkEnd w:id="63"/>
    <w:bookmarkStart w:id="64" w:name="ref-buchman2013"/>
    <w:p>
      <w:pPr>
        <w:pStyle w:val="Bibliography"/>
      </w:pPr>
      <w:r>
        <w:t xml:space="preserve">3.</w:t>
      </w:r>
      <w:r>
        <w:t xml:space="preserve"> </w:t>
      </w:r>
      <w:r>
        <w:t xml:space="preserve">	</w:t>
      </w:r>
      <w:r>
        <w:t xml:space="preserve">Buchman AS, Yu L, Boyle PA, et al. Microvascular brain pathology and late-life motor impairment.</w:t>
      </w:r>
      <w:r>
        <w:t xml:space="preserve"> </w:t>
      </w:r>
      <w:r>
        <w:rPr>
          <w:iCs/>
          <w:i/>
        </w:rPr>
        <w:t xml:space="preserve">Neurology</w:t>
      </w:r>
      <w:r>
        <w:t xml:space="preserve"> </w:t>
      </w:r>
      <w:r>
        <w:t xml:space="preserve">2013; 80: 712–718.</w:t>
      </w:r>
    </w:p>
    <w:bookmarkEnd w:id="64"/>
    <w:bookmarkStart w:id="65" w:name="ref-blevins2021"/>
    <w:p>
      <w:pPr>
        <w:pStyle w:val="Bibliography"/>
      </w:pPr>
      <w:r>
        <w:t xml:space="preserve">4.</w:t>
      </w:r>
      <w:r>
        <w:t xml:space="preserve"> </w:t>
      </w:r>
      <w:r>
        <w:t xml:space="preserve">	</w:t>
      </w:r>
      <w:r>
        <w:t xml:space="preserve">Blevins BL, Vinters HV, Love S, et al. Brain arteriolosclerosis.</w:t>
      </w:r>
      <w:r>
        <w:t xml:space="preserve"> </w:t>
      </w:r>
      <w:r>
        <w:rPr>
          <w:iCs/>
          <w:i/>
        </w:rPr>
        <w:t xml:space="preserve">Acta Neuropathologica</w:t>
      </w:r>
      <w:r>
        <w:t xml:space="preserve"> </w:t>
      </w:r>
      <w:r>
        <w:t xml:space="preserve">2021; 141: 1–24.</w:t>
      </w:r>
    </w:p>
    <w:bookmarkEnd w:id="65"/>
    <w:bookmarkStart w:id="66" w:name="ref-chou2013"/>
    <w:p>
      <w:pPr>
        <w:pStyle w:val="Bibliography"/>
      </w:pPr>
      <w:r>
        <w:t xml:space="preserve">5.</w:t>
      </w:r>
      <w:r>
        <w:t xml:space="preserve"> </w:t>
      </w:r>
      <w:r>
        <w:t xml:space="preserve">	</w:t>
      </w:r>
      <w:r>
        <w:t xml:space="preserve">Chou S-Y, Shulman JM, Keenan BT, et al. Genetic susceptibility for ischemic infarction and arteriolosclerosis based on neuropathologic evaluations.</w:t>
      </w:r>
      <w:r>
        <w:t xml:space="preserve"> </w:t>
      </w:r>
      <w:r>
        <w:rPr>
          <w:iCs/>
          <w:i/>
        </w:rPr>
        <w:t xml:space="preserve">Cerebrovascular Diseases (Basel, Switzerland)</w:t>
      </w:r>
      <w:r>
        <w:t xml:space="preserve"> </w:t>
      </w:r>
      <w:r>
        <w:t xml:space="preserve">2013; 36: 181–188.</w:t>
      </w:r>
    </w:p>
    <w:bookmarkEnd w:id="66"/>
    <w:bookmarkStart w:id="67" w:name="ref-arvanitakis2016"/>
    <w:p>
      <w:pPr>
        <w:pStyle w:val="Bibliography"/>
      </w:pPr>
      <w:r>
        <w:t xml:space="preserve">6.</w:t>
      </w:r>
      <w:r>
        <w:t xml:space="preserve"> </w:t>
      </w:r>
      <w:r>
        <w:t xml:space="preserve">	</w:t>
      </w:r>
      <w:r>
        <w:t xml:space="preserve">Arvanitakis Z, Capuano AW, Leurgans SE, et al. Relation of cerebral vessel disease to alzheimer</w:t>
      </w:r>
      <w:r>
        <w:t xml:space="preserve">’</w:t>
      </w:r>
      <w:r>
        <w:t xml:space="preserve">s disease dementia and cognitive function in older persons: A cross-sectional study.</w:t>
      </w:r>
      <w:r>
        <w:t xml:space="preserve"> </w:t>
      </w:r>
      <w:r>
        <w:rPr>
          <w:iCs/>
          <w:i/>
        </w:rPr>
        <w:t xml:space="preserve">The Lancet Neurology</w:t>
      </w:r>
      <w:r>
        <w:t xml:space="preserve"> </w:t>
      </w:r>
      <w:r>
        <w:t xml:space="preserve">2016; 15: 934–943.</w:t>
      </w:r>
    </w:p>
    <w:bookmarkEnd w:id="67"/>
    <w:bookmarkStart w:id="68" w:name="ref-neltner2014"/>
    <w:p>
      <w:pPr>
        <w:pStyle w:val="Bibliography"/>
      </w:pPr>
      <w:r>
        <w:t xml:space="preserve">7.</w:t>
      </w:r>
      <w:r>
        <w:t xml:space="preserve"> </w:t>
      </w:r>
      <w:r>
        <w:t xml:space="preserve">	</w:t>
      </w:r>
      <w:r>
        <w:t xml:space="preserve">Neltner JH, Abner EL, Baker S, et al. Arteriolosclerosis that affects multiple brain regions is linked to hippocampal sclerosis of ageing.</w:t>
      </w:r>
      <w:r>
        <w:t xml:space="preserve"> </w:t>
      </w:r>
      <w:r>
        <w:rPr>
          <w:iCs/>
          <w:i/>
        </w:rPr>
        <w:t xml:space="preserve">Brain</w:t>
      </w:r>
      <w:r>
        <w:t xml:space="preserve"> </w:t>
      </w:r>
      <w:r>
        <w:t xml:space="preserve">2014; 137: 255–267.</w:t>
      </w:r>
    </w:p>
    <w:bookmarkEnd w:id="68"/>
    <w:bookmarkStart w:id="69" w:name="ref-wu2005"/>
    <w:p>
      <w:pPr>
        <w:pStyle w:val="Bibliography"/>
      </w:pPr>
      <w:r>
        <w:t xml:space="preserve">8.</w:t>
      </w:r>
      <w:r>
        <w:t xml:space="preserve"> </w:t>
      </w:r>
      <w:r>
        <w:t xml:space="preserve">	</w:t>
      </w:r>
      <w:r>
        <w:t xml:space="preserve">Wu J, Chen X, Xie Y, et al. Characteristics and risk factors of intrarenal arterial lesions in patients with IgA nephropathy.</w:t>
      </w:r>
      <w:r>
        <w:t xml:space="preserve"> </w:t>
      </w:r>
      <w:r>
        <w:rPr>
          <w:iCs/>
          <w:i/>
        </w:rPr>
        <w:t xml:space="preserve">Nephrology Dialysis Transplantation</w:t>
      </w:r>
      <w:r>
        <w:t xml:space="preserve"> </w:t>
      </w:r>
      <w:r>
        <w:t xml:space="preserve">2005; 20: 719–727.</w:t>
      </w:r>
    </w:p>
    <w:bookmarkEnd w:id="69"/>
    <w:bookmarkStart w:id="70" w:name="ref-ikee2010"/>
    <w:p>
      <w:pPr>
        <w:pStyle w:val="Bibliography"/>
      </w:pPr>
      <w:r>
        <w:t xml:space="preserve">9.</w:t>
      </w:r>
      <w:r>
        <w:t xml:space="preserve"> </w:t>
      </w:r>
      <w:r>
        <w:t xml:space="preserve">	</w:t>
      </w:r>
      <w:r>
        <w:t xml:space="preserve">Ikee R, Honda K, Ishioka K, et al. Postprandial hyperglycemia and hyperinsulinemia associated with renal arterio-arteriolosclerosis in chronic kidney disease.</w:t>
      </w:r>
      <w:r>
        <w:t xml:space="preserve"> </w:t>
      </w:r>
      <w:r>
        <w:rPr>
          <w:iCs/>
          <w:i/>
        </w:rPr>
        <w:t xml:space="preserve">Hypertension Research: Official Journal of the Japanese Society of Hypertension</w:t>
      </w:r>
      <w:r>
        <w:t xml:space="preserve"> </w:t>
      </w:r>
      <w:r>
        <w:t xml:space="preserve">2010; 33: 499–504.</w:t>
      </w:r>
    </w:p>
    <w:bookmarkEnd w:id="70"/>
    <w:bookmarkStart w:id="71" w:name="ref-cameron2006"/>
    <w:p>
      <w:pPr>
        <w:pStyle w:val="Bibliography"/>
      </w:pPr>
      <w:r>
        <w:t xml:space="preserve">10.</w:t>
      </w:r>
      <w:r>
        <w:t xml:space="preserve"> </w:t>
      </w:r>
      <w:r>
        <w:t xml:space="preserve">	</w:t>
      </w:r>
      <w:r>
        <w:t xml:space="preserve">Cameron JS. The discovery of diabetic nephropathy: from small print to centre stage.</w:t>
      </w:r>
      <w:r>
        <w:t xml:space="preserve"> </w:t>
      </w:r>
      <w:r>
        <w:rPr>
          <w:iCs/>
          <w:i/>
        </w:rPr>
        <w:t xml:space="preserve">Journal of Nephrology</w:t>
      </w:r>
      <w:r>
        <w:t xml:space="preserve"> </w:t>
      </w:r>
      <w:r>
        <w:t xml:space="preserve">2006; 19 Suppl 10: S75–87.</w:t>
      </w:r>
    </w:p>
    <w:bookmarkEnd w:id="71"/>
    <w:bookmarkStart w:id="72" w:name="ref-buniello2019"/>
    <w:p>
      <w:pPr>
        <w:pStyle w:val="Bibliography"/>
      </w:pPr>
      <w:r>
        <w:t xml:space="preserve">11.</w:t>
      </w:r>
      <w:r>
        <w:t xml:space="preserve"> </w:t>
      </w:r>
      <w:r>
        <w:t xml:space="preserve">	</w:t>
      </w:r>
      <w:r>
        <w:t xml:space="preserve">Buniello A, MacArthur JAL, Cerezo M, et al. The NHGRI-EBI GWAS Catalog of published genome-wide association studies, targeted arrays and summary statistics 2019.</w:t>
      </w:r>
      <w:r>
        <w:t xml:space="preserve"> </w:t>
      </w:r>
      <w:r>
        <w:rPr>
          <w:iCs/>
          <w:i/>
        </w:rPr>
        <w:t xml:space="preserve">Nucleic Acids Research</w:t>
      </w:r>
      <w:r>
        <w:t xml:space="preserve"> </w:t>
      </w:r>
      <w:r>
        <w:t xml:space="preserve">2019; 47: D1005–D1012.</w:t>
      </w:r>
    </w:p>
    <w:bookmarkEnd w:id="72"/>
    <w:bookmarkStart w:id="73" w:name="ref-beecham2014"/>
    <w:p>
      <w:pPr>
        <w:pStyle w:val="Bibliography"/>
      </w:pPr>
      <w:r>
        <w:t xml:space="preserve">12.</w:t>
      </w:r>
      <w:r>
        <w:t xml:space="preserve"> </w:t>
      </w:r>
      <w:r>
        <w:t xml:space="preserve">	</w:t>
      </w:r>
      <w:r>
        <w:t xml:space="preserve">Beecham GW, Hamilton K, Naj AC, et al. Genome-Wide Association Meta-analysis of Neuropathologic Features of Alzheimer’s Disease and Related Dementias.</w:t>
      </w:r>
      <w:r>
        <w:t xml:space="preserve"> </w:t>
      </w:r>
      <w:r>
        <w:rPr>
          <w:iCs/>
          <w:i/>
        </w:rPr>
        <w:t xml:space="preserve">PLOS Genetics</w:t>
      </w:r>
      <w:r>
        <w:t xml:space="preserve"> </w:t>
      </w:r>
      <w:r>
        <w:t xml:space="preserve">2014; 10: e1004606.</w:t>
      </w:r>
    </w:p>
    <w:bookmarkEnd w:id="73"/>
    <w:bookmarkStart w:id="74" w:name="ref-katsumata2017"/>
    <w:p>
      <w:pPr>
        <w:pStyle w:val="Bibliography"/>
      </w:pPr>
      <w:r>
        <w:t xml:space="preserve">13.</w:t>
      </w:r>
      <w:r>
        <w:t xml:space="preserve"> </w:t>
      </w:r>
      <w:r>
        <w:t xml:space="preserve">	</w:t>
      </w:r>
      <w:r>
        <w:t xml:space="preserve">Katsumata Y, Nelson PT, Ellingson SR, et al. Gene-based association study of genes linked to hippocampal sclerosis of aging neuropathology: GRN, TMEM106B, ABCC9, and KCNMB2.</w:t>
      </w:r>
      <w:r>
        <w:t xml:space="preserve"> </w:t>
      </w:r>
      <w:r>
        <w:rPr>
          <w:iCs/>
          <w:i/>
        </w:rPr>
        <w:t xml:space="preserve">Neurobiology of Aging</w:t>
      </w:r>
      <w:r>
        <w:t xml:space="preserve"> </w:t>
      </w:r>
      <w:r>
        <w:t xml:space="preserve">2017; 53: 193.e17–193.e25.</w:t>
      </w:r>
    </w:p>
    <w:bookmarkEnd w:id="74"/>
    <w:bookmarkStart w:id="75" w:name="ref-traylor2016"/>
    <w:p>
      <w:pPr>
        <w:pStyle w:val="Bibliography"/>
      </w:pPr>
      <w:r>
        <w:t xml:space="preserve">14.</w:t>
      </w:r>
      <w:r>
        <w:t xml:space="preserve"> </w:t>
      </w:r>
      <w:r>
        <w:t xml:space="preserve">	</w:t>
      </w:r>
      <w:r>
        <w:t xml:space="preserve">Traylor M, Zhang CR, Adib-Samii P, et al. Genome-wide meta-analysis of cerebral white matter hyperintensities in patients with stroke.</w:t>
      </w:r>
      <w:r>
        <w:t xml:space="preserve"> </w:t>
      </w:r>
      <w:r>
        <w:rPr>
          <w:iCs/>
          <w:i/>
        </w:rPr>
        <w:t xml:space="preserve">Neurology</w:t>
      </w:r>
      <w:r>
        <w:t xml:space="preserve"> </w:t>
      </w:r>
      <w:r>
        <w:t xml:space="preserve">2016; 86: 146–153.</w:t>
      </w:r>
    </w:p>
    <w:bookmarkEnd w:id="75"/>
    <w:bookmarkStart w:id="76" w:name="ref-malik2018"/>
    <w:p>
      <w:pPr>
        <w:pStyle w:val="Bibliography"/>
      </w:pPr>
      <w:r>
        <w:t xml:space="preserve">15.</w:t>
      </w:r>
      <w:r>
        <w:t xml:space="preserve"> </w:t>
      </w:r>
      <w:r>
        <w:t xml:space="preserve">	</w:t>
      </w:r>
      <w:r>
        <w:t xml:space="preserve">Malik R, Chauhan G, Traylor M, et al. Multiancestry genome-wide association study of 520,000 subjects identifies 32 loci associated with stroke and stroke subtypes.</w:t>
      </w:r>
      <w:r>
        <w:t xml:space="preserve"> </w:t>
      </w:r>
      <w:r>
        <w:rPr>
          <w:iCs/>
          <w:i/>
        </w:rPr>
        <w:t xml:space="preserve">Nature Genetics</w:t>
      </w:r>
      <w:r>
        <w:t xml:space="preserve"> </w:t>
      </w:r>
      <w:r>
        <w:t xml:space="preserve">2018; 50: 524–537.</w:t>
      </w:r>
    </w:p>
    <w:bookmarkEnd w:id="76"/>
    <w:bookmarkStart w:id="77" w:name="ref-chauhan2019"/>
    <w:p>
      <w:pPr>
        <w:pStyle w:val="Bibliography"/>
      </w:pPr>
      <w:r>
        <w:t xml:space="preserve">16.</w:t>
      </w:r>
      <w:r>
        <w:t xml:space="preserve"> </w:t>
      </w:r>
      <w:r>
        <w:t xml:space="preserve">	</w:t>
      </w:r>
      <w:r>
        <w:t xml:space="preserve">Chauhan G, Adams HHH, Satizabal CL, et al. Genetic and lifestyle risk factors for MRI-defined brain infarcts in a population-based setting.</w:t>
      </w:r>
      <w:r>
        <w:t xml:space="preserve"> </w:t>
      </w:r>
      <w:r>
        <w:rPr>
          <w:iCs/>
          <w:i/>
        </w:rPr>
        <w:t xml:space="preserve">Neurology</w:t>
      </w:r>
      <w:r>
        <w:t xml:space="preserve"> </w:t>
      </w:r>
      <w:r>
        <w:t xml:space="preserve">2019; 92: e486–e503.</w:t>
      </w:r>
    </w:p>
    <w:bookmarkEnd w:id="77"/>
    <w:bookmarkStart w:id="78" w:name="ref-thegeno2013"/>
    <w:p>
      <w:pPr>
        <w:pStyle w:val="Bibliography"/>
      </w:pPr>
      <w:r>
        <w:t xml:space="preserve">17.</w:t>
      </w:r>
      <w:r>
        <w:t xml:space="preserve"> </w:t>
      </w:r>
      <w:r>
        <w:t xml:space="preserve">	</w:t>
      </w:r>
      <w:r>
        <w:t xml:space="preserve">The genotype-tissue expression (GTEx) project.</w:t>
      </w:r>
      <w:r>
        <w:t xml:space="preserve"> </w:t>
      </w:r>
      <w:r>
        <w:rPr>
          <w:iCs/>
          <w:i/>
        </w:rPr>
        <w:t xml:space="preserve">Nature genetics</w:t>
      </w:r>
      <w:r>
        <w:t xml:space="preserve"> </w:t>
      </w:r>
      <w:r>
        <w:t xml:space="preserve">2013; 45: 580–585.</w:t>
      </w:r>
    </w:p>
    <w:bookmarkEnd w:id="78"/>
    <w:bookmarkStart w:id="80" w:name="ref-welcome"/>
    <w:p>
      <w:pPr>
        <w:pStyle w:val="Bibliography"/>
      </w:pPr>
      <w:r>
        <w:t xml:space="preserve">18.</w:t>
      </w:r>
      <w:r>
        <w:t xml:space="preserve"> </w:t>
      </w:r>
      <w:r>
        <w:t xml:space="preserve">	</w:t>
      </w:r>
      <w:r>
        <w:t xml:space="preserve">Welcome to alzheimer’s disease genetics consortium | ADGC,</w:t>
      </w:r>
      <w:r>
        <w:t xml:space="preserve"> </w:t>
      </w:r>
      <w:hyperlink r:id="rId79">
        <w:r>
          <w:rPr>
            <w:rStyle w:val="Hyperlink"/>
          </w:rPr>
          <w:t xml:space="preserve">http://www.adgenetics.org/</w:t>
        </w:r>
      </w:hyperlink>
      <w:r>
        <w:t xml:space="preserve">.</w:t>
      </w:r>
    </w:p>
    <w:bookmarkEnd w:id="80"/>
    <w:bookmarkStart w:id="81" w:name="ref-besser2018"/>
    <w:p>
      <w:pPr>
        <w:pStyle w:val="Bibliography"/>
      </w:pPr>
      <w:r>
        <w:t xml:space="preserve">19.</w:t>
      </w:r>
      <w:r>
        <w:t xml:space="preserve"> </w:t>
      </w:r>
      <w:r>
        <w:t xml:space="preserve">	</w:t>
      </w:r>
      <w:r>
        <w:t xml:space="preserve">Besser LM, Kukull WA, Teylan MA, et al. The Revised National Alzheimer’s Coordinating Center’s Neuropathology Form-Available Data and New Analyses.</w:t>
      </w:r>
      <w:r>
        <w:t xml:space="preserve"> </w:t>
      </w:r>
      <w:r>
        <w:rPr>
          <w:iCs/>
          <w:i/>
        </w:rPr>
        <w:t xml:space="preserve">Journal of Neuropathology and Experimental Neurology</w:t>
      </w:r>
      <w:r>
        <w:t xml:space="preserve"> </w:t>
      </w:r>
      <w:r>
        <w:t xml:space="preserve">2018; 77: 717–726.</w:t>
      </w:r>
    </w:p>
    <w:bookmarkEnd w:id="81"/>
    <w:bookmarkStart w:id="82" w:name="ref-bennett2018"/>
    <w:p>
      <w:pPr>
        <w:pStyle w:val="Bibliography"/>
      </w:pPr>
      <w:r>
        <w:t xml:space="preserve">20.</w:t>
      </w:r>
      <w:r>
        <w:t xml:space="preserve"> </w:t>
      </w:r>
      <w:r>
        <w:t xml:space="preserve">	</w:t>
      </w:r>
      <w:r>
        <w:t xml:space="preserve">Bennett DA, Buchman AS, Boyle PA, et al. Religious orders study and rush memory and aging project.</w:t>
      </w:r>
      <w:r>
        <w:t xml:space="preserve"> </w:t>
      </w:r>
      <w:r>
        <w:rPr>
          <w:iCs/>
          <w:i/>
        </w:rPr>
        <w:t xml:space="preserve">Journal of Alzheimer’s disease : JAD</w:t>
      </w:r>
      <w:r>
        <w:t xml:space="preserve"> </w:t>
      </w:r>
      <w:r>
        <w:t xml:space="preserve">2018; 64: S161–S189.</w:t>
      </w:r>
    </w:p>
    <w:bookmarkEnd w:id="82"/>
    <w:bookmarkStart w:id="83" w:name="ref-kukull2002"/>
    <w:p>
      <w:pPr>
        <w:pStyle w:val="Bibliography"/>
      </w:pPr>
      <w:r>
        <w:t xml:space="preserve">21.</w:t>
      </w:r>
      <w:r>
        <w:t xml:space="preserve"> </w:t>
      </w:r>
      <w:r>
        <w:t xml:space="preserve">	</w:t>
      </w:r>
      <w:r>
        <w:t xml:space="preserve">Kukull WA, Higdon R, Bowen JD, et al. Dementia and Alzheimer Disease Incidence: A Prospective Cohort Study.</w:t>
      </w:r>
      <w:r>
        <w:t xml:space="preserve"> </w:t>
      </w:r>
      <w:r>
        <w:rPr>
          <w:iCs/>
          <w:i/>
        </w:rPr>
        <w:t xml:space="preserve">Archives of Neurology</w:t>
      </w:r>
      <w:r>
        <w:t xml:space="preserve"> </w:t>
      </w:r>
      <w:r>
        <w:t xml:space="preserve">2002; 59: 1737.</w:t>
      </w:r>
    </w:p>
    <w:bookmarkEnd w:id="83"/>
    <w:bookmarkStart w:id="84" w:name="ref-buchman2011"/>
    <w:p>
      <w:pPr>
        <w:pStyle w:val="Bibliography"/>
      </w:pPr>
      <w:r>
        <w:t xml:space="preserve">22.</w:t>
      </w:r>
      <w:r>
        <w:t xml:space="preserve"> </w:t>
      </w:r>
      <w:r>
        <w:t xml:space="preserve">	</w:t>
      </w:r>
      <w:r>
        <w:t xml:space="preserve">Buchman AS, Leurgans SE, Nag S, et al. Cerebrovascular disease pathology and parkinsonian signs in old age.</w:t>
      </w:r>
      <w:r>
        <w:t xml:space="preserve"> </w:t>
      </w:r>
      <w:r>
        <w:rPr>
          <w:iCs/>
          <w:i/>
        </w:rPr>
        <w:t xml:space="preserve">Stroke; a journal of cerebral circulation</w:t>
      </w:r>
      <w:r>
        <w:t xml:space="preserve"> </w:t>
      </w:r>
      <w:r>
        <w:t xml:space="preserve">2011; 42: 3183–3189.</w:t>
      </w:r>
    </w:p>
    <w:bookmarkEnd w:id="84"/>
    <w:bookmarkStart w:id="85" w:name="ref-franklin2015"/>
    <w:p>
      <w:pPr>
        <w:pStyle w:val="Bibliography"/>
      </w:pPr>
      <w:r>
        <w:t xml:space="preserve">23.</w:t>
      </w:r>
      <w:r>
        <w:t xml:space="preserve"> </w:t>
      </w:r>
      <w:r>
        <w:t xml:space="preserve">	</w:t>
      </w:r>
      <w:r>
        <w:t xml:space="preserve">Franklin EE, Perrin RJ, Vincent B, et al. Brain collection, standardized neuropathologic assessment, and comorbidity in alzheimer’s disease neuroimaging initiative 2 participants.</w:t>
      </w:r>
      <w:r>
        <w:t xml:space="preserve"> </w:t>
      </w:r>
      <w:r>
        <w:rPr>
          <w:iCs/>
          <w:i/>
        </w:rPr>
        <w:t xml:space="preserve">Alzheimer’s &amp; Dementia</w:t>
      </w:r>
      <w:r>
        <w:t xml:space="preserve"> </w:t>
      </w:r>
      <w:r>
        <w:t xml:space="preserve">2015; 11: 815–822.</w:t>
      </w:r>
    </w:p>
    <w:bookmarkEnd w:id="85"/>
    <w:bookmarkStart w:id="87" w:name="ref-chang2015"/>
    <w:p>
      <w:pPr>
        <w:pStyle w:val="Bibliography"/>
      </w:pPr>
      <w:r>
        <w:t xml:space="preserve">24.</w:t>
      </w:r>
      <w:r>
        <w:t xml:space="preserve"> </w:t>
      </w:r>
      <w:r>
        <w:t xml:space="preserve">	</w:t>
      </w:r>
      <w:r>
        <w:t xml:space="preserve">Chang CC, Chow CC, Tellier LC, et al. Second-generation PLINK: rising to the challenge of larger and richer datasets.</w:t>
      </w:r>
      <w:r>
        <w:t xml:space="preserve"> </w:t>
      </w:r>
      <w:r>
        <w:rPr>
          <w:iCs/>
          <w:i/>
        </w:rPr>
        <w:t xml:space="preserve">GigaScience</w:t>
      </w:r>
      <w:r>
        <w:t xml:space="preserve">; 4. Epub ahead of print 1 December 2015. DOI:</w:t>
      </w:r>
      <w:r>
        <w:t xml:space="preserve"> </w:t>
      </w:r>
      <w:hyperlink r:id="rId86">
        <w:r>
          <w:rPr>
            <w:rStyle w:val="Hyperlink"/>
          </w:rPr>
          <w:t xml:space="preserve">10.1186/s13742-015-0047-8</w:t>
        </w:r>
      </w:hyperlink>
      <w:r>
        <w:t xml:space="preserve">.</w:t>
      </w:r>
    </w:p>
    <w:bookmarkEnd w:id="87"/>
    <w:bookmarkStart w:id="88" w:name="ref-Abecasis2012"/>
    <w:p>
      <w:pPr>
        <w:pStyle w:val="Bibliography"/>
      </w:pPr>
      <w:r>
        <w:t xml:space="preserve">25.</w:t>
      </w:r>
      <w:r>
        <w:t xml:space="preserve"> </w:t>
      </w:r>
      <w:r>
        <w:t xml:space="preserve">	</w:t>
      </w:r>
      <w:r>
        <w:t xml:space="preserve">An integrated map of genetic variation from 1,092 human genomes.</w:t>
      </w:r>
      <w:r>
        <w:t xml:space="preserve"> </w:t>
      </w:r>
      <w:r>
        <w:rPr>
          <w:iCs/>
          <w:i/>
        </w:rPr>
        <w:t xml:space="preserve">Nature</w:t>
      </w:r>
      <w:r>
        <w:t xml:space="preserve"> </w:t>
      </w:r>
      <w:r>
        <w:t xml:space="preserve">2012; 491: 56–65.</w:t>
      </w:r>
    </w:p>
    <w:bookmarkEnd w:id="88"/>
    <w:bookmarkStart w:id="90" w:name="ref-rcoreteam2020"/>
    <w:p>
      <w:pPr>
        <w:pStyle w:val="Bibliography"/>
      </w:pPr>
      <w:r>
        <w:t xml:space="preserve">26.</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w:t>
      </w:r>
      <w:r>
        <w:t xml:space="preserve"> </w:t>
      </w:r>
      <w:hyperlink r:id="rId89">
        <w:r>
          <w:rPr>
            <w:rStyle w:val="Hyperlink"/>
          </w:rPr>
          <w:t xml:space="preserve">https://www.R-project.org/</w:t>
        </w:r>
      </w:hyperlink>
      <w:r>
        <w:t xml:space="preserve"> </w:t>
      </w:r>
      <w:r>
        <w:t xml:space="preserve">(2020).</w:t>
      </w:r>
    </w:p>
    <w:bookmarkEnd w:id="90"/>
    <w:bookmarkStart w:id="91" w:name="ref-mccarthy2016"/>
    <w:p>
      <w:pPr>
        <w:pStyle w:val="Bibliography"/>
      </w:pPr>
      <w:r>
        <w:t xml:space="preserve">27.</w:t>
      </w:r>
      <w:r>
        <w:t xml:space="preserve"> </w:t>
      </w:r>
      <w:r>
        <w:t xml:space="preserve">	</w:t>
      </w:r>
      <w:r>
        <w:t xml:space="preserve">McCarthy S, Das S, Kretzschmar W, et al. A reference panel of 64,976 haplotypes for genotype imputation.</w:t>
      </w:r>
      <w:r>
        <w:t xml:space="preserve"> </w:t>
      </w:r>
      <w:r>
        <w:rPr>
          <w:iCs/>
          <w:i/>
        </w:rPr>
        <w:t xml:space="preserve">Nature Genetics</w:t>
      </w:r>
      <w:r>
        <w:t xml:space="preserve"> </w:t>
      </w:r>
      <w:r>
        <w:t xml:space="preserve">2016; 48: 1279–1283.</w:t>
      </w:r>
    </w:p>
    <w:bookmarkEnd w:id="91"/>
    <w:bookmarkStart w:id="92" w:name="ref-dumitrescu2020"/>
    <w:p>
      <w:pPr>
        <w:pStyle w:val="Bibliography"/>
      </w:pPr>
      <w:r>
        <w:t xml:space="preserve">28.</w:t>
      </w:r>
      <w:r>
        <w:t xml:space="preserve"> </w:t>
      </w:r>
      <w:r>
        <w:t xml:space="preserve">	</w:t>
      </w:r>
      <w:r>
        <w:t xml:space="preserve">Dumitrescu L, Mahoney ER, Mukherjee S, et al. Genetic variants and functional pathways associated with resilience to alzheimer</w:t>
      </w:r>
      <w:r>
        <w:t xml:space="preserve">’</w:t>
      </w:r>
      <w:r>
        <w:t xml:space="preserve">s disease.</w:t>
      </w:r>
      <w:r>
        <w:t xml:space="preserve"> </w:t>
      </w:r>
      <w:r>
        <w:rPr>
          <w:iCs/>
          <w:i/>
        </w:rPr>
        <w:t xml:space="preserve">Brain</w:t>
      </w:r>
      <w:r>
        <w:t xml:space="preserve"> </w:t>
      </w:r>
      <w:r>
        <w:t xml:space="preserve">2020; 143: 2561–2575.</w:t>
      </w:r>
    </w:p>
    <w:bookmarkEnd w:id="92"/>
    <w:bookmarkStart w:id="93" w:name="ref-das2016"/>
    <w:p>
      <w:pPr>
        <w:pStyle w:val="Bibliography"/>
      </w:pPr>
      <w:r>
        <w:t xml:space="preserve">29.</w:t>
      </w:r>
      <w:r>
        <w:t xml:space="preserve"> </w:t>
      </w:r>
      <w:r>
        <w:t xml:space="preserve">	</w:t>
      </w:r>
      <w:r>
        <w:t xml:space="preserve">Das S, Forer L, Schönherr S, et al. Next-generation genotype imputation service and methods.</w:t>
      </w:r>
      <w:r>
        <w:t xml:space="preserve"> </w:t>
      </w:r>
      <w:r>
        <w:rPr>
          <w:iCs/>
          <w:i/>
        </w:rPr>
        <w:t xml:space="preserve">Nature Genetics</w:t>
      </w:r>
      <w:r>
        <w:t xml:space="preserve"> </w:t>
      </w:r>
      <w:r>
        <w:t xml:space="preserve">2016; 48: 1284–1287.</w:t>
      </w:r>
    </w:p>
    <w:bookmarkEnd w:id="93"/>
    <w:bookmarkStart w:id="94" w:name="ref-fuchsberger2015"/>
    <w:p>
      <w:pPr>
        <w:pStyle w:val="Bibliography"/>
      </w:pPr>
      <w:r>
        <w:t xml:space="preserve">30.</w:t>
      </w:r>
      <w:r>
        <w:t xml:space="preserve"> </w:t>
      </w:r>
      <w:r>
        <w:t xml:space="preserve">	</w:t>
      </w:r>
      <w:r>
        <w:t xml:space="preserve">Fuchsberger C, Abecasis GR, Hinds DA. minimac2: Faster genotype imputation.</w:t>
      </w:r>
      <w:r>
        <w:t xml:space="preserve"> </w:t>
      </w:r>
      <w:r>
        <w:rPr>
          <w:iCs/>
          <w:i/>
        </w:rPr>
        <w:t xml:space="preserve">Bioinformatics</w:t>
      </w:r>
      <w:r>
        <w:t xml:space="preserve"> </w:t>
      </w:r>
      <w:r>
        <w:t xml:space="preserve">2015; 31: 782–784.</w:t>
      </w:r>
    </w:p>
    <w:bookmarkEnd w:id="94"/>
    <w:bookmarkStart w:id="95" w:name="ref-taliun2019"/>
    <w:p>
      <w:pPr>
        <w:pStyle w:val="Bibliography"/>
      </w:pPr>
      <w:r>
        <w:t xml:space="preserve">31.</w:t>
      </w:r>
      <w:r>
        <w:t xml:space="preserve"> </w:t>
      </w:r>
      <w:r>
        <w:t xml:space="preserve">	</w:t>
      </w:r>
      <w:r>
        <w:t xml:space="preserve">Taliun D, Harris DN, Kessler MD, et al. Sequencing of 53,831 diverse genomes from the NHLBI TOPMed Program.</w:t>
      </w:r>
      <w:r>
        <w:t xml:space="preserve"> </w:t>
      </w:r>
      <w:r>
        <w:rPr>
          <w:iCs/>
          <w:i/>
        </w:rPr>
        <w:t xml:space="preserve">bioRxiv</w:t>
      </w:r>
      <w:r>
        <w:t xml:space="preserve"> </w:t>
      </w:r>
      <w:r>
        <w:t xml:space="preserve">2019; 563866.</w:t>
      </w:r>
    </w:p>
    <w:bookmarkEnd w:id="95"/>
    <w:bookmarkStart w:id="97" w:name="ref-chang"/>
    <w:p>
      <w:pPr>
        <w:pStyle w:val="Bibliography"/>
      </w:pPr>
      <w:r>
        <w:t xml:space="preserve">32.</w:t>
      </w:r>
      <w:r>
        <w:t xml:space="preserve"> </w:t>
      </w:r>
      <w:r>
        <w:t xml:space="preserve">	</w:t>
      </w:r>
      <w:r>
        <w:t xml:space="preserve">Chang CC, Purcell S.</w:t>
      </w:r>
      <w:r>
        <w:t xml:space="preserve"> </w:t>
      </w:r>
      <w:r>
        <w:rPr>
          <w:iCs/>
          <w:i/>
        </w:rPr>
        <w:t xml:space="preserve">Plink 1.9</w:t>
      </w:r>
      <w:r>
        <w:t xml:space="preserve">,</w:t>
      </w:r>
      <w:r>
        <w:t xml:space="preserve"> </w:t>
      </w:r>
      <w:hyperlink r:id="rId96">
        <w:r>
          <w:rPr>
            <w:rStyle w:val="Hyperlink"/>
          </w:rPr>
          <w:t xml:space="preserve">www.cog-genomics.org/plink/1.9/</w:t>
        </w:r>
      </w:hyperlink>
      <w:r>
        <w:t xml:space="preserve">.</w:t>
      </w:r>
    </w:p>
    <w:bookmarkEnd w:id="97"/>
    <w:bookmarkStart w:id="98" w:name="ref-purcell2007"/>
    <w:p>
      <w:pPr>
        <w:pStyle w:val="Bibliography"/>
      </w:pPr>
      <w:r>
        <w:t xml:space="preserve">33.</w:t>
      </w:r>
      <w:r>
        <w:t xml:space="preserve"> </w:t>
      </w:r>
      <w:r>
        <w:t xml:space="preserve">	</w:t>
      </w:r>
      <w:r>
        <w:t xml:space="preserve">Purcell S, Neale B, Todd-Brown K, et al. PLINK: A Tool Set for Whole-Genome Association and Population-Based Linkage Analyses.</w:t>
      </w:r>
      <w:r>
        <w:t xml:space="preserve"> </w:t>
      </w:r>
      <w:r>
        <w:rPr>
          <w:iCs/>
          <w:i/>
        </w:rPr>
        <w:t xml:space="preserve">The American Journal of Human Genetics</w:t>
      </w:r>
      <w:r>
        <w:t xml:space="preserve"> </w:t>
      </w:r>
      <w:r>
        <w:t xml:space="preserve">2007; 81: 559–575.</w:t>
      </w:r>
    </w:p>
    <w:bookmarkEnd w:id="98"/>
    <w:bookmarkStart w:id="99" w:name="ref-manichaikul2010"/>
    <w:p>
      <w:pPr>
        <w:pStyle w:val="Bibliography"/>
      </w:pPr>
      <w:r>
        <w:t xml:space="preserve">34.</w:t>
      </w:r>
      <w:r>
        <w:t xml:space="preserve"> </w:t>
      </w:r>
      <w:r>
        <w:t xml:space="preserve">	</w:t>
      </w:r>
      <w:r>
        <w:t xml:space="preserve">Manichaikul A, Mychaleckyj JC, Rich SS, et al. Robust relationship inference in genome-wide association studies.</w:t>
      </w:r>
      <w:r>
        <w:t xml:space="preserve"> </w:t>
      </w:r>
      <w:r>
        <w:rPr>
          <w:iCs/>
          <w:i/>
        </w:rPr>
        <w:t xml:space="preserve">Bioinformatics</w:t>
      </w:r>
      <w:r>
        <w:t xml:space="preserve"> </w:t>
      </w:r>
      <w:r>
        <w:t xml:space="preserve">2010; 26: 2867–2873.</w:t>
      </w:r>
    </w:p>
    <w:bookmarkEnd w:id="99"/>
    <w:bookmarkStart w:id="100" w:name="ref-marees2018"/>
    <w:p>
      <w:pPr>
        <w:pStyle w:val="Bibliography"/>
      </w:pPr>
      <w:r>
        <w:t xml:space="preserve">35.</w:t>
      </w:r>
      <w:r>
        <w:t xml:space="preserve"> </w:t>
      </w:r>
      <w:r>
        <w:t xml:space="preserve">	</w:t>
      </w:r>
      <w:r>
        <w:t xml:space="preserve">Marees AT, de Kluiver H, Stringer S, et al. A tutorial on conducting genome-wide association studies: Quality control and statistical analysis.</w:t>
      </w:r>
      <w:r>
        <w:t xml:space="preserve"> </w:t>
      </w:r>
      <w:r>
        <w:rPr>
          <w:iCs/>
          <w:i/>
        </w:rPr>
        <w:t xml:space="preserve">International Journal of Methods in Psychiatric Research</w:t>
      </w:r>
      <w:r>
        <w:t xml:space="preserve"> </w:t>
      </w:r>
      <w:r>
        <w:t xml:space="preserve">2018; 27: e1608.</w:t>
      </w:r>
    </w:p>
    <w:bookmarkEnd w:id="100"/>
    <w:bookmarkStart w:id="102" w:name="ref-schlegel2020"/>
    <w:p>
      <w:pPr>
        <w:pStyle w:val="Bibliography"/>
      </w:pPr>
      <w:r>
        <w:t xml:space="preserve">36.</w:t>
      </w:r>
      <w:r>
        <w:t xml:space="preserve"> </w:t>
      </w:r>
      <w:r>
        <w:t xml:space="preserve">	</w:t>
      </w:r>
      <w:r>
        <w:t xml:space="preserve">Schlegel B, Steenbergen M.</w:t>
      </w:r>
      <w:r>
        <w:t xml:space="preserve"> </w:t>
      </w:r>
      <w:r>
        <w:rPr>
          <w:iCs/>
          <w:i/>
        </w:rPr>
        <w:t xml:space="preserve">Brant: Test for parallel regression assumption</w:t>
      </w:r>
      <w:r>
        <w:t xml:space="preserve">,</w:t>
      </w:r>
      <w:r>
        <w:t xml:space="preserve"> </w:t>
      </w:r>
      <w:hyperlink r:id="rId101">
        <w:r>
          <w:rPr>
            <w:rStyle w:val="Hyperlink"/>
          </w:rPr>
          <w:t xml:space="preserve">https://CRAN.R-project.org/package=brant</w:t>
        </w:r>
      </w:hyperlink>
      <w:r>
        <w:t xml:space="preserve"> </w:t>
      </w:r>
      <w:r>
        <w:t xml:space="preserve">(2020).</w:t>
      </w:r>
    </w:p>
    <w:bookmarkEnd w:id="102"/>
    <w:bookmarkStart w:id="103" w:name="ref-vattathil2021"/>
    <w:p>
      <w:pPr>
        <w:pStyle w:val="Bibliography"/>
      </w:pPr>
      <w:r>
        <w:t xml:space="preserve">37.</w:t>
      </w:r>
      <w:r>
        <w:t xml:space="preserve"> </w:t>
      </w:r>
      <w:r>
        <w:t xml:space="preserve">	</w:t>
      </w:r>
      <w:r>
        <w:t xml:space="preserve">Vattathil SM, Liu Y, Harerimana NV, et al. A Genetic Study of Cerebral Atherosclerosis Reveals Novel Associations with NTNG1 and CNOT3.</w:t>
      </w:r>
      <w:r>
        <w:t xml:space="preserve"> </w:t>
      </w:r>
      <w:r>
        <w:rPr>
          <w:iCs/>
          <w:i/>
        </w:rPr>
        <w:t xml:space="preserve">Genes</w:t>
      </w:r>
      <w:r>
        <w:t xml:space="preserve"> </w:t>
      </w:r>
      <w:r>
        <w:t xml:space="preserve">2021; 12: 815.</w:t>
      </w:r>
    </w:p>
    <w:bookmarkEnd w:id="103"/>
    <w:bookmarkStart w:id="104" w:name="ref-leeuw2015"/>
    <w:p>
      <w:pPr>
        <w:pStyle w:val="Bibliography"/>
      </w:pPr>
      <w:r>
        <w:t xml:space="preserve">38.</w:t>
      </w:r>
      <w:r>
        <w:t xml:space="preserve"> </w:t>
      </w:r>
      <w:r>
        <w:t xml:space="preserve">	</w:t>
      </w:r>
      <w:r>
        <w:t xml:space="preserve">Leeuw CA de, Mooij JM, Heskes T, et al. MAGMA: Generalized Gene-Set Analysis of GWAS Data.</w:t>
      </w:r>
      <w:r>
        <w:t xml:space="preserve"> </w:t>
      </w:r>
      <w:r>
        <w:rPr>
          <w:iCs/>
          <w:i/>
        </w:rPr>
        <w:t xml:space="preserve">PLOS Computational Biology</w:t>
      </w:r>
      <w:r>
        <w:t xml:space="preserve"> </w:t>
      </w:r>
      <w:r>
        <w:t xml:space="preserve">2015; 11: e1004219.</w:t>
      </w:r>
    </w:p>
    <w:bookmarkEnd w:id="104"/>
    <w:bookmarkStart w:id="105" w:name="ref-aguet2017"/>
    <w:p>
      <w:pPr>
        <w:pStyle w:val="Bibliography"/>
      </w:pPr>
      <w:r>
        <w:t xml:space="preserve">39.</w:t>
      </w:r>
      <w:r>
        <w:t xml:space="preserve"> </w:t>
      </w:r>
      <w:r>
        <w:t xml:space="preserve">	</w:t>
      </w:r>
      <w:r>
        <w:t xml:space="preserve">Aguet F, Brown AA, Castel SE, et al. Genetic effects on gene expression across human tissues.</w:t>
      </w:r>
      <w:r>
        <w:t xml:space="preserve"> </w:t>
      </w:r>
      <w:r>
        <w:rPr>
          <w:iCs/>
          <w:i/>
        </w:rPr>
        <w:t xml:space="preserve">Nature</w:t>
      </w:r>
      <w:r>
        <w:t xml:space="preserve"> </w:t>
      </w:r>
      <w:r>
        <w:t xml:space="preserve">2017; 550: 204–213.</w:t>
      </w:r>
    </w:p>
    <w:bookmarkEnd w:id="105"/>
    <w:bookmarkStart w:id="106" w:name="ref-giambartolomei2014"/>
    <w:p>
      <w:pPr>
        <w:pStyle w:val="Bibliography"/>
      </w:pPr>
      <w:r>
        <w:t xml:space="preserve">40.</w:t>
      </w:r>
      <w:r>
        <w:t xml:space="preserve"> </w:t>
      </w:r>
      <w:r>
        <w:t xml:space="preserve">	</w:t>
      </w:r>
      <w:r>
        <w:t xml:space="preserve">Giambartolomei C, Vukcevic D, Schadt EE, et al. Bayesian Test for Colocalisation between Pairs of Genetic Association Studies Using Summary Statistics.</w:t>
      </w:r>
      <w:r>
        <w:t xml:space="preserve"> </w:t>
      </w:r>
      <w:r>
        <w:rPr>
          <w:iCs/>
          <w:i/>
        </w:rPr>
        <w:t xml:space="preserve">PLOS Genetics</w:t>
      </w:r>
      <w:r>
        <w:t xml:space="preserve"> </w:t>
      </w:r>
      <w:r>
        <w:t xml:space="preserve">2014; 10: e1004383.</w:t>
      </w:r>
    </w:p>
    <w:bookmarkEnd w:id="106"/>
    <w:bookmarkStart w:id="108" w:name="ref-gtexpor"/>
    <w:p>
      <w:pPr>
        <w:pStyle w:val="Bibliography"/>
      </w:pPr>
      <w:r>
        <w:t xml:space="preserve">41.</w:t>
      </w:r>
      <w:r>
        <w:t xml:space="preserve"> </w:t>
      </w:r>
      <w:r>
        <w:t xml:space="preserve">	</w:t>
      </w:r>
      <w:r>
        <w:t xml:space="preserve">GTEx portal,</w:t>
      </w:r>
      <w:r>
        <w:t xml:space="preserve"> </w:t>
      </w:r>
      <w:hyperlink r:id="rId107">
        <w:r>
          <w:rPr>
            <w:rStyle w:val="Hyperlink"/>
          </w:rPr>
          <w:t xml:space="preserve">https://www.gtexportal.org/home/gene/ENSG00000183662.6#geneExpression</w:t>
        </w:r>
      </w:hyperlink>
      <w:r>
        <w:t xml:space="preserve">.</w:t>
      </w:r>
    </w:p>
    <w:bookmarkEnd w:id="108"/>
    <w:bookmarkStart w:id="109" w:name="ref-baron"/>
    <w:p>
      <w:pPr>
        <w:pStyle w:val="Bibliography"/>
      </w:pPr>
      <w:r>
        <w:t xml:space="preserve">42.</w:t>
      </w:r>
      <w:r>
        <w:t xml:space="preserve"> </w:t>
      </w:r>
      <w:r>
        <w:t xml:space="preserve">	</w:t>
      </w:r>
      <w:r>
        <w:t xml:space="preserve">Baron RM, Kenny DA. The Moderator-Mediator Variable Distinction in Social Psychological Research: Conceptual, Strategic, and Statistical Considerations. 10.</w:t>
      </w:r>
    </w:p>
    <w:bookmarkEnd w:id="109"/>
    <w:bookmarkStart w:id="111" w:name="ref-chen2020"/>
    <w:p>
      <w:pPr>
        <w:pStyle w:val="Bibliography"/>
      </w:pPr>
      <w:r>
        <w:t xml:space="preserve">43.</w:t>
      </w:r>
      <w:r>
        <w:t xml:space="preserve"> </w:t>
      </w:r>
      <w:r>
        <w:t xml:space="preserve">	</w:t>
      </w:r>
      <w:r>
        <w:t xml:space="preserve">Chen H, Conomos MP.</w:t>
      </w:r>
      <w:r>
        <w:t xml:space="preserve"> </w:t>
      </w:r>
      <w:r>
        <w:rPr>
          <w:iCs/>
          <w:i/>
        </w:rPr>
        <w:t xml:space="preserve">GMMAT: Generalized linear mixed model association tests</w:t>
      </w:r>
      <w:r>
        <w:t xml:space="preserve">,</w:t>
      </w:r>
      <w:r>
        <w:t xml:space="preserve"> </w:t>
      </w:r>
      <w:hyperlink r:id="rId110">
        <w:r>
          <w:rPr>
            <w:rStyle w:val="Hyperlink"/>
          </w:rPr>
          <w:t xml:space="preserve">https://CRAN.R-project.org/package=GMMAT</w:t>
        </w:r>
      </w:hyperlink>
      <w:r>
        <w:t xml:space="preserve"> </w:t>
      </w:r>
      <w:r>
        <w:t xml:space="preserve">(2020).</w:t>
      </w:r>
    </w:p>
    <w:bookmarkEnd w:id="111"/>
    <w:bookmarkStart w:id="113" w:name="ref-conomos2019"/>
    <w:p>
      <w:pPr>
        <w:pStyle w:val="Bibliography"/>
      </w:pPr>
      <w:r>
        <w:t xml:space="preserve">44.</w:t>
      </w:r>
      <w:r>
        <w:t xml:space="preserve"> </w:t>
      </w:r>
      <w:r>
        <w:t xml:space="preserve">	</w:t>
      </w:r>
      <w:r>
        <w:t xml:space="preserve">Conomos MP, Gogarten SM, Brown L, et al.</w:t>
      </w:r>
      <w:r>
        <w:t xml:space="preserve"> </w:t>
      </w:r>
      <w:r>
        <w:rPr>
          <w:iCs/>
          <w:i/>
        </w:rPr>
        <w:t xml:space="preserve">GENESIS: GENetic EStimation and inference in structured samples (GENESIS): Statistical methods for analyzing genetic data from samples with population structure and/or relatedness</w:t>
      </w:r>
      <w:r>
        <w:t xml:space="preserve">,</w:t>
      </w:r>
      <w:r>
        <w:t xml:space="preserve"> </w:t>
      </w:r>
      <w:hyperlink r:id="rId112">
        <w:r>
          <w:rPr>
            <w:rStyle w:val="Hyperlink"/>
          </w:rPr>
          <w:t xml:space="preserve">https://github.com/UW-GAC/GENESIS</w:t>
        </w:r>
      </w:hyperlink>
      <w:r>
        <w:t xml:space="preserve"> </w:t>
      </w:r>
      <w:r>
        <w:t xml:space="preserve">(2019).</w:t>
      </w:r>
    </w:p>
    <w:bookmarkEnd w:id="113"/>
    <w:bookmarkStart w:id="115" w:name="ref-gogarten"/>
    <w:p>
      <w:pPr>
        <w:pStyle w:val="Bibliography"/>
      </w:pPr>
      <w:r>
        <w:t xml:space="preserve">45.</w:t>
      </w:r>
      <w:r>
        <w:t xml:space="preserve"> </w:t>
      </w:r>
      <w:r>
        <w:t xml:space="preserve">	</w:t>
      </w:r>
      <w:r>
        <w:t xml:space="preserve">Gogarten SM, Sofer T, Chen H, et al. Genetic association testing using the GENESIS R/Bioconductor package.</w:t>
      </w:r>
      <w:r>
        <w:t xml:space="preserve"> </w:t>
      </w:r>
      <w:r>
        <w:rPr>
          <w:iCs/>
          <w:i/>
        </w:rPr>
        <w:t xml:space="preserve">Bioinformatics</w:t>
      </w:r>
      <w:r>
        <w:t xml:space="preserve">. DOI:</w:t>
      </w:r>
      <w:r>
        <w:t xml:space="preserve"> </w:t>
      </w:r>
      <w:hyperlink r:id="rId114">
        <w:r>
          <w:rPr>
            <w:rStyle w:val="Hyperlink"/>
          </w:rPr>
          <w:t xml:space="preserve">10.1093/bioinformatics/btz567</w:t>
        </w:r>
      </w:hyperlink>
      <w:r>
        <w:t xml:space="preserve">.</w:t>
      </w:r>
    </w:p>
    <w:bookmarkEnd w:id="115"/>
    <w:bookmarkStart w:id="116" w:name="ref-zheng2012"/>
    <w:p>
      <w:pPr>
        <w:pStyle w:val="Bibliography"/>
      </w:pPr>
      <w:r>
        <w:t xml:space="preserve">46.</w:t>
      </w:r>
      <w:r>
        <w:t xml:space="preserve"> </w:t>
      </w:r>
      <w:r>
        <w:t xml:space="preserve">	</w:t>
      </w:r>
      <w:r>
        <w:t xml:space="preserve">Zheng X, Levine D, Shen J, et al. A high-performance computing toolset for relatedness and principal component analysis of SNP data.</w:t>
      </w:r>
      <w:r>
        <w:t xml:space="preserve"> </w:t>
      </w:r>
      <w:r>
        <w:rPr>
          <w:iCs/>
          <w:i/>
        </w:rPr>
        <w:t xml:space="preserve">Bioinformatics</w:t>
      </w:r>
      <w:r>
        <w:t xml:space="preserve"> </w:t>
      </w:r>
      <w:r>
        <w:t xml:space="preserve">2012; 28: 3326–3328.</w:t>
      </w:r>
    </w:p>
    <w:bookmarkEnd w:id="116"/>
    <w:bookmarkStart w:id="117" w:name="ref-hopiavuori2019"/>
    <w:p>
      <w:pPr>
        <w:pStyle w:val="Bibliography"/>
      </w:pPr>
      <w:r>
        <w:t xml:space="preserve">47.</w:t>
      </w:r>
      <w:r>
        <w:t xml:space="preserve"> </w:t>
      </w:r>
      <w:r>
        <w:t xml:space="preserve">	</w:t>
      </w:r>
      <w:r>
        <w:t xml:space="preserve">Hopiavuori BR, Anderson RE, Agbaga M-P. ELOVL4: Very long-chain fatty acids serve an eclectic role in mammalian health and function.</w:t>
      </w:r>
      <w:r>
        <w:t xml:space="preserve"> </w:t>
      </w:r>
      <w:r>
        <w:rPr>
          <w:iCs/>
          <w:i/>
        </w:rPr>
        <w:t xml:space="preserve">Progress in Retinal and Eye Research</w:t>
      </w:r>
      <w:r>
        <w:t xml:space="preserve"> </w:t>
      </w:r>
      <w:r>
        <w:t xml:space="preserve">2019; 69: 137–158.</w:t>
      </w:r>
    </w:p>
    <w:bookmarkEnd w:id="117"/>
    <w:bookmarkStart w:id="118" w:name="ref-vasireddy2008"/>
    <w:p>
      <w:pPr>
        <w:pStyle w:val="Bibliography"/>
      </w:pPr>
      <w:r>
        <w:t xml:space="preserve">48.</w:t>
      </w:r>
      <w:r>
        <w:t xml:space="preserve"> </w:t>
      </w:r>
      <w:r>
        <w:t xml:space="preserve">	</w:t>
      </w:r>
      <w:r>
        <w:t xml:space="preserve">Vasireddy V, Sharon M, Salem N, et al. Role of ELOVL4 in Fatty Acid Metabolism. In: Anderson RE, LaVail MM, Hollyfield JG (eds). New York, NY: Springer, pp. 283–290.</w:t>
      </w:r>
    </w:p>
    <w:bookmarkEnd w:id="118"/>
    <w:bookmarkStart w:id="119" w:name="ref-zhu2020"/>
    <w:p>
      <w:pPr>
        <w:pStyle w:val="Bibliography"/>
      </w:pPr>
      <w:r>
        <w:t xml:space="preserve">49.</w:t>
      </w:r>
      <w:r>
        <w:t xml:space="preserve"> </w:t>
      </w:r>
      <w:r>
        <w:t xml:space="preserve">	</w:t>
      </w:r>
      <w:r>
        <w:t xml:space="preserve">Zhu Z, Guo Y, Shi H, et al. Shared genetic and experimental links between obesity-related traits and asthma subtypes in UK Biobank.</w:t>
      </w:r>
      <w:r>
        <w:t xml:space="preserve"> </w:t>
      </w:r>
      <w:r>
        <w:rPr>
          <w:iCs/>
          <w:i/>
        </w:rPr>
        <w:t xml:space="preserve">The Journal of Allergy and Clinical Immunology</w:t>
      </w:r>
      <w:r>
        <w:t xml:space="preserve"> </w:t>
      </w:r>
      <w:r>
        <w:t xml:space="preserve">2020; 145: 537–549.</w:t>
      </w:r>
    </w:p>
    <w:bookmarkEnd w:id="119"/>
    <w:bookmarkStart w:id="120" w:name="ref-kichaev2019"/>
    <w:p>
      <w:pPr>
        <w:pStyle w:val="Bibliography"/>
      </w:pPr>
      <w:r>
        <w:t xml:space="preserve">50.</w:t>
      </w:r>
      <w:r>
        <w:t xml:space="preserve"> </w:t>
      </w:r>
      <w:r>
        <w:t xml:space="preserve">	</w:t>
      </w:r>
      <w:r>
        <w:t xml:space="preserve">Kichaev G, Bhatia G, Loh P-R, et al. Leveraging Polygenic Functional Enrichment to Improve GWAS Power.</w:t>
      </w:r>
      <w:r>
        <w:t xml:space="preserve"> </w:t>
      </w:r>
      <w:r>
        <w:rPr>
          <w:iCs/>
          <w:i/>
        </w:rPr>
        <w:t xml:space="preserve">American Journal of Human Genetics</w:t>
      </w:r>
      <w:r>
        <w:t xml:space="preserve"> </w:t>
      </w:r>
      <w:r>
        <w:t xml:space="preserve">2019; 104: 65–75.</w:t>
      </w:r>
    </w:p>
    <w:bookmarkEnd w:id="120"/>
    <w:bookmarkStart w:id="122" w:name="ref-strauss1993"/>
    <w:p>
      <w:pPr>
        <w:pStyle w:val="Bibliography"/>
      </w:pPr>
      <w:r>
        <w:t xml:space="preserve">51.</w:t>
      </w:r>
      <w:r>
        <w:t xml:space="preserve"> </w:t>
      </w:r>
      <w:r>
        <w:t xml:space="preserve">	</w:t>
      </w:r>
      <w:r>
        <w:t xml:space="preserve">Strauss KA, Puffenberger EG, Carson VJ. Maple Syrup Urine Disease. In: Adam MP, Ardinger HH, Pagon RA, et al. (eds). Seattle (WA): University of Washington, Seattle,</w:t>
      </w:r>
      <w:r>
        <w:t xml:space="preserve"> </w:t>
      </w:r>
      <w:hyperlink r:id="rId121">
        <w:r>
          <w:rPr>
            <w:rStyle w:val="Hyperlink"/>
          </w:rPr>
          <w:t xml:space="preserve">http://www.ncbi.nlm.nih.gov/books/NBK1319/</w:t>
        </w:r>
      </w:hyperlink>
      <w:r>
        <w:t xml:space="preserve"> </w:t>
      </w:r>
      <w:r>
        <w:t xml:space="preserve">(1993).</w:t>
      </w:r>
    </w:p>
    <w:bookmarkEnd w:id="122"/>
    <w:bookmarkStart w:id="123" w:name="ref-reitz2013"/>
    <w:p>
      <w:pPr>
        <w:pStyle w:val="Bibliography"/>
      </w:pPr>
      <w:r>
        <w:t xml:space="preserve">52.</w:t>
      </w:r>
      <w:r>
        <w:t xml:space="preserve"> </w:t>
      </w:r>
      <w:r>
        <w:t xml:space="preserve">	</w:t>
      </w:r>
      <w:r>
        <w:t xml:space="preserve">Reitz C, Tosto G, Vardarajan B, et al. Independent and epistatic effects of variants in VPS10-d receptors on alzheimer disease risk and processing of the amyloid precursor protein (APP).</w:t>
      </w:r>
      <w:r>
        <w:t xml:space="preserve"> </w:t>
      </w:r>
      <w:r>
        <w:rPr>
          <w:iCs/>
          <w:i/>
        </w:rPr>
        <w:t xml:space="preserve">Translational Psychiatry</w:t>
      </w:r>
      <w:r>
        <w:t xml:space="preserve"> </w:t>
      </w:r>
      <w:r>
        <w:t xml:space="preserve">2013; 3: e256.</w:t>
      </w:r>
    </w:p>
    <w:bookmarkEnd w:id="123"/>
    <w:bookmarkStart w:id="125" w:name="ref-wang2020"/>
    <w:p>
      <w:pPr>
        <w:pStyle w:val="Bibliography"/>
      </w:pPr>
      <w:r>
        <w:t xml:space="preserve">53.</w:t>
      </w:r>
      <w:r>
        <w:t xml:space="preserve"> </w:t>
      </w:r>
      <w:r>
        <w:t xml:space="preserve">	</w:t>
      </w:r>
      <w:r>
        <w:t xml:space="preserve">Wang M, Wang S, Li Y, et al. Integrated analysis and network pharmacology approaches to explore key genes of xingnaojing for treatment of alzheimer’s disease.</w:t>
      </w:r>
      <w:r>
        <w:t xml:space="preserve"> </w:t>
      </w:r>
      <w:r>
        <w:rPr>
          <w:iCs/>
          <w:i/>
        </w:rPr>
        <w:t xml:space="preserve">Brain and Behavior</w:t>
      </w:r>
      <w:r>
        <w:t xml:space="preserve">; 10. Epub ahead of print 18 April 2020. DOI:</w:t>
      </w:r>
      <w:r>
        <w:t xml:space="preserve"> </w:t>
      </w:r>
      <w:hyperlink r:id="rId124">
        <w:r>
          <w:rPr>
            <w:rStyle w:val="Hyperlink"/>
          </w:rPr>
          <w:t xml:space="preserve">10.1002/brb3.1610</w:t>
        </w:r>
      </w:hyperlink>
      <w:r>
        <w:t xml:space="preserve">.</w:t>
      </w:r>
    </w:p>
    <w:bookmarkEnd w:id="125"/>
    <w:bookmarkStart w:id="126" w:name="ref-designo1998"/>
    <w:p>
      <w:pPr>
        <w:pStyle w:val="Bibliography"/>
      </w:pPr>
      <w:r>
        <w:t xml:space="preserve">54.</w:t>
      </w:r>
      <w:r>
        <w:t xml:space="preserve"> </w:t>
      </w:r>
      <w:r>
        <w:t xml:space="preserve">	</w:t>
      </w:r>
      <w:r>
        <w:t xml:space="preserve">Design of the Women</w:t>
      </w:r>
      <w:r>
        <w:t xml:space="preserve">’</w:t>
      </w:r>
      <w:r>
        <w:t xml:space="preserve">s Health Initiative Clinical Trial and Observational Study.</w:t>
      </w:r>
      <w:r>
        <w:t xml:space="preserve"> </w:t>
      </w:r>
      <w:r>
        <w:rPr>
          <w:iCs/>
          <w:i/>
        </w:rPr>
        <w:t xml:space="preserve">Controlled Clinical Trials</w:t>
      </w:r>
      <w:r>
        <w:t xml:space="preserve"> </w:t>
      </w:r>
      <w:r>
        <w:t xml:space="preserve">1998; 19: 61–109.</w:t>
      </w:r>
    </w:p>
    <w:bookmarkEnd w:id="126"/>
    <w:bookmarkStart w:id="127" w:name="ref-blue2021"/>
    <w:p>
      <w:pPr>
        <w:pStyle w:val="Bibliography"/>
      </w:pPr>
      <w:r>
        <w:t xml:space="preserve">55.</w:t>
      </w:r>
      <w:r>
        <w:t xml:space="preserve"> </w:t>
      </w:r>
      <w:r>
        <w:t xml:space="preserve">	</w:t>
      </w:r>
      <w:r>
        <w:t xml:space="preserve">Blue EE, Thornton TA, Kooperberg C, et al. Non-coding variants in MYH11, FZD3, and SORCS3 are associated with dementia in women.</w:t>
      </w:r>
      <w:r>
        <w:t xml:space="preserve"> </w:t>
      </w:r>
      <w:r>
        <w:rPr>
          <w:iCs/>
          <w:i/>
        </w:rPr>
        <w:t xml:space="preserve">Alzheimer’s &amp; Dementia</w:t>
      </w:r>
      <w:r>
        <w:t xml:space="preserve"> </w:t>
      </w:r>
      <w:r>
        <w:t xml:space="preserve">2021; 17: 215–225.</w:t>
      </w:r>
    </w:p>
    <w:bookmarkEnd w:id="127"/>
    <w:bookmarkStart w:id="128" w:name="ref-baselmans2019"/>
    <w:p>
      <w:pPr>
        <w:pStyle w:val="Bibliography"/>
      </w:pPr>
      <w:r>
        <w:t xml:space="preserve">56.</w:t>
      </w:r>
      <w:r>
        <w:t xml:space="preserve"> </w:t>
      </w:r>
      <w:r>
        <w:t xml:space="preserve">	</w:t>
      </w:r>
      <w:r>
        <w:t xml:space="preserve">Baselmans BML, Jansen R, Ip HF, et al. Multivariate genome-wide analyses of the well-being spectrum.</w:t>
      </w:r>
      <w:r>
        <w:t xml:space="preserve"> </w:t>
      </w:r>
      <w:r>
        <w:rPr>
          <w:iCs/>
          <w:i/>
        </w:rPr>
        <w:t xml:space="preserve">Nature Genetics</w:t>
      </w:r>
      <w:r>
        <w:t xml:space="preserve"> </w:t>
      </w:r>
      <w:r>
        <w:t xml:space="preserve">2019; 51: 445–451.</w:t>
      </w:r>
    </w:p>
    <w:bookmarkEnd w:id="128"/>
    <w:bookmarkStart w:id="129" w:name="ref-lee2018"/>
    <w:p>
      <w:pPr>
        <w:pStyle w:val="Bibliography"/>
      </w:pPr>
      <w:r>
        <w:t xml:space="preserve">57.</w:t>
      </w:r>
      <w:r>
        <w:t xml:space="preserve"> </w:t>
      </w:r>
      <w:r>
        <w:t xml:space="preserve">	</w:t>
      </w:r>
      <w:r>
        <w:t xml:space="preserve">Lee JJ, Wedow R, Okbay A, et al. Gene discovery and polygenic prediction from a genome-wide association study of educational attainment in 1.1 million individuals.</w:t>
      </w:r>
      <w:r>
        <w:t xml:space="preserve"> </w:t>
      </w:r>
      <w:r>
        <w:rPr>
          <w:iCs/>
          <w:i/>
        </w:rPr>
        <w:t xml:space="preserve">Nature Genetics</w:t>
      </w:r>
      <w:r>
        <w:t xml:space="preserve"> </w:t>
      </w:r>
      <w:r>
        <w:t xml:space="preserve">2018; 50: 1112–1121.</w:t>
      </w:r>
    </w:p>
    <w:bookmarkEnd w:id="129"/>
    <w:bookmarkStart w:id="130" w:name="ref-subkhangulova2018"/>
    <w:p>
      <w:pPr>
        <w:pStyle w:val="Bibliography"/>
      </w:pPr>
      <w:r>
        <w:t xml:space="preserve">58.</w:t>
      </w:r>
      <w:r>
        <w:t xml:space="preserve"> </w:t>
      </w:r>
      <w:r>
        <w:t xml:space="preserve">	</w:t>
      </w:r>
      <w:r>
        <w:t xml:space="preserve">Subkhangulova A, Malik AR, Hermey G, et al. SORCS1 and SORCS3 control energy balance and orexigenic peptide production.</w:t>
      </w:r>
      <w:r>
        <w:t xml:space="preserve"> </w:t>
      </w:r>
      <w:r>
        <w:rPr>
          <w:iCs/>
          <w:i/>
        </w:rPr>
        <w:t xml:space="preserve">EMBO reports</w:t>
      </w:r>
      <w:r>
        <w:t xml:space="preserve"> </w:t>
      </w:r>
      <w:r>
        <w:t xml:space="preserve">2018; 19: e44810.</w:t>
      </w:r>
    </w:p>
    <w:bookmarkEnd w:id="130"/>
    <w:bookmarkStart w:id="131" w:name="ref-hermey2019"/>
    <w:p>
      <w:pPr>
        <w:pStyle w:val="Bibliography"/>
      </w:pPr>
      <w:r>
        <w:t xml:space="preserve">59.</w:t>
      </w:r>
      <w:r>
        <w:t xml:space="preserve"> </w:t>
      </w:r>
      <w:r>
        <w:t xml:space="preserve">	</w:t>
      </w:r>
      <w:r>
        <w:t xml:space="preserve">Hermey G, Hoffmeister-Ullerich SA, Merz B, et al. Amyloidosis causes downregulation of SorLA, SorCS1 and SorCS3 expression in mice.</w:t>
      </w:r>
      <w:r>
        <w:t xml:space="preserve"> </w:t>
      </w:r>
      <w:r>
        <w:rPr>
          <w:iCs/>
          <w:i/>
        </w:rPr>
        <w:t xml:space="preserve">Biological Chemistry</w:t>
      </w:r>
      <w:r>
        <w:t xml:space="preserve"> </w:t>
      </w:r>
      <w:r>
        <w:t xml:space="preserve">2019; 400: 1181–1189.</w:t>
      </w:r>
    </w:p>
    <w:bookmarkEnd w:id="131"/>
    <w:bookmarkStart w:id="132" w:name="ref-skrobot2016"/>
    <w:p>
      <w:pPr>
        <w:pStyle w:val="Bibliography"/>
      </w:pPr>
      <w:r>
        <w:t xml:space="preserve">60.</w:t>
      </w:r>
      <w:r>
        <w:t xml:space="preserve"> </w:t>
      </w:r>
      <w:r>
        <w:t xml:space="preserve">	</w:t>
      </w:r>
      <w:r>
        <w:t xml:space="preserve">Skrobot OA, Attems J, Esiri M, et al. Vascular cognitive impairment neuropathology guidelines (VCING): The contribution of cerebrovascular pathology to cognitive impairment.</w:t>
      </w:r>
      <w:r>
        <w:t xml:space="preserve"> </w:t>
      </w:r>
      <w:r>
        <w:rPr>
          <w:iCs/>
          <w:i/>
        </w:rPr>
        <w:t xml:space="preserve">Brain</w:t>
      </w:r>
      <w:r>
        <w:t xml:space="preserve"> </w:t>
      </w:r>
      <w:r>
        <w:t xml:space="preserve">2016; 139: 2957–2969.</w:t>
      </w:r>
    </w:p>
    <w:bookmarkEnd w:id="132"/>
    <w:bookmarkStart w:id="133" w:name="ref-kunkle2019"/>
    <w:p>
      <w:pPr>
        <w:pStyle w:val="Bibliography"/>
      </w:pPr>
      <w:r>
        <w:t xml:space="preserve">61.</w:t>
      </w:r>
      <w:r>
        <w:t xml:space="preserve"> </w:t>
      </w:r>
      <w:r>
        <w:t xml:space="preserve">	</w:t>
      </w:r>
      <w:r>
        <w:t xml:space="preserve">Kunkle BW, Grenier-Boley B, Sims R, et al. Genetic meta-analysis of diagnosed Alzheimer</w:t>
      </w:r>
      <w:r>
        <w:t xml:space="preserve">’</w:t>
      </w:r>
      <w:r>
        <w:t xml:space="preserve">s disease identifies new risk loci and implicates A?, tau, immunity and lipid processing.</w:t>
      </w:r>
      <w:r>
        <w:t xml:space="preserve"> </w:t>
      </w:r>
      <w:r>
        <w:rPr>
          <w:iCs/>
          <w:i/>
        </w:rPr>
        <w:t xml:space="preserve">Nature Genetics</w:t>
      </w:r>
      <w:r>
        <w:t xml:space="preserve"> </w:t>
      </w:r>
      <w:r>
        <w:t xml:space="preserve">2019; 51: 414.</w:t>
      </w:r>
    </w:p>
    <w:bookmarkEnd w:id="133"/>
    <w:bookmarkEnd w:id="134"/>
    <w:p>
      <w:r>
        <w:br w:type="page"/>
      </w:r>
    </w:p>
    <w:bookmarkEnd w:id="135"/>
    <w:bookmarkStart w:id="136" w:name="figure-legends"/>
    <w:p>
      <w:pPr>
        <w:pStyle w:val="Heading1"/>
      </w:pPr>
      <w:r>
        <w:t xml:space="preserve">Figure Legends</w:t>
      </w:r>
    </w:p>
    <w:p>
      <w:pPr>
        <w:pStyle w:val="FirstParagraph"/>
      </w:pPr>
      <w:r>
        <w:rPr>
          <w:bCs/>
          <w:b/>
        </w:rPr>
        <w:t xml:space="preserve">Figure 1.</w:t>
      </w:r>
      <w:r>
        <w:t xml:space="preserve"> </w:t>
      </w:r>
      <w:r>
        <w:t xml:space="preserve">Overall study design. First, quality control (QC) was performed on all neuropathological and genotype data sets used (see Methods). GWAS were performed across three stages. In Stage 1, GWAS was performed on NACC participants (n = 3382). In Stage 2, all variants with</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t>
      </w:r>
      <w:r>
        <w:t xml:space="preserve">(k = 14) were analyzed separately in ROS-MAP (n = 1187), and then NACC and ROS-MAP participant data were merged for mega-analysis (n = 4569). In Stage 3, top variants from Stage 2 mega-analysis with</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(k = 2) were analyzed in two replication cohorts, ADNI (n = 47) and ACT (n = 512), and then NACC, ROS-MAP, ADNI, and ACT data were merged for mega-analysis. Downstream functional analyses, consisting of colocalization and gene-based analyses, were then performed on Stage 3 mega-analysis results. Mediation analyses for HTN and DM were also performed using a subset of NACC participants with clinical data available (n = 1726).</w:t>
      </w:r>
    </w:p>
    <w:p>
      <w:pPr>
        <w:pStyle w:val="BodyText"/>
      </w:pPr>
      <w:r>
        <w:rPr>
          <w:bCs/>
          <w:b/>
        </w:rPr>
        <w:t xml:space="preserve">Figure 2.</w:t>
      </w:r>
      <w:r>
        <w:t xml:space="preserve"> </w:t>
      </w:r>
      <w:r>
        <w:t xml:space="preserve">Stage 2 mega-analysis results.</w:t>
      </w:r>
      <w:r>
        <w:t xml:space="preserve"> </w:t>
      </w:r>
      <w:r>
        <w:rPr>
          <w:bCs/>
          <w:b/>
        </w:rPr>
        <w:t xml:space="preserve">A)</w:t>
      </w:r>
      <w:r>
        <w:t xml:space="preserve"> </w:t>
      </w:r>
      <w:r>
        <w:t xml:space="preserve">Manhattan plot of Stage 2 GWAS mega-analysis of NACC and ROSMAP. The horizontal dashed line in each plot is the suggestive threshold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while the solid line is the threshold for genome-wide significance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w:t>
      </w:r>
      <w:r>
        <w:t xml:space="preserve"> </w:t>
      </w:r>
      <w:r>
        <w:rPr>
          <w:bCs/>
          <w:b/>
        </w:rPr>
        <w:t xml:space="preserve">B &amp; C)</w:t>
      </w:r>
      <w:r>
        <w:t xml:space="preserve"> </w:t>
      </w:r>
      <w:r>
        <w:t xml:space="preserve">Regional plots of rs2603462 and rs7902929 +/- 1000 kb, respectively. </w:t>
      </w:r>
    </w:p>
    <w:bookmarkEnd w:id="136"/>
    <w:bookmarkStart w:id="137"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982"/>
        <w:gridCol w:w="1632"/>
        <w:gridCol w:w="1772"/>
      </w:tblGrid>
      <w:tr>
        <w:trPr>
          <w:cantSplit/>
          <w:trHeight w:val="581"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1: Cohorts Used in Study</w:t>
            </w:r>
          </w:p>
        </w:tc>
      </w:tr>
      <w:tr>
        <w:trPr>
          <w:cantSplit/>
          <w:trHeight w:val="58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(1.4%)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(25%)</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257 (50.2%)</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120 (23.4%)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286 (55.9%)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 (44.1%)</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[70, 106]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SD, standard deviation; Min, minimum; Max, maximum. Age of Death variable is integer for NACC, ADNI, and ACT but continuous in ROSMAP.</w:t>
            </w:r>
          </w:p>
        </w:tc>
      </w:tr>
    </w:tbl>
    <w:p>
      <w:pPr>
        <w:pStyle w:val="FirstParagraph"/>
      </w:pPr>
      <w:r>
        <w:t xml:space="preserve">fdafdfasd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5"/>
        <w:gridCol w:w="883"/>
        <w:gridCol w:w="1810"/>
        <w:gridCol w:w="1980"/>
        <w:gridCol w:w="1066"/>
        <w:gridCol w:w="2448"/>
        <w:gridCol w:w="1255"/>
        <w:gridCol w:w="2764"/>
        <w:gridCol w:w="1552"/>
      </w:tblGrid>
      <w:tr>
        <w:trPr>
          <w:cantSplit/>
          <w:trHeight w:val="607" w:hRule="auto"/>
          <w:tblHeader/>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2: Stage 1 GWAS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FANCL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[1.19-1.49]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[0.84-1.23]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 [1.42-2.21]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rs4470773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177,507,080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rs28362345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31,165,836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[1.15-1.41]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 [0.78-1.14]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rs115980554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34,456,632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PACSIN1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 [1.33-2]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 [0.65-1.37]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HCG27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[1.27-1.66]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2.5e-08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[0.84-1.33]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rs12700439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23,472,061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IGF2BP3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 [1.29-1.92]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 [1.14-2.26]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rs10790707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124,460,485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OR8A1/PANX3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1.03 [0.85-1.24]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0.76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[1.18-1.5]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 [0.93-1.46]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rs6574718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26,395,832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NOVA1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rs9895518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49,645,803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CA10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 [0.9-1.32]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rs387083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35,847,115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FFAR1/FFAR3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[0.85-1.22]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  </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rs2069126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19,749,957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[1.14-1.4]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 [0.92-1.34]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  </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NACC OR &gt;= 1.</w:t>
            </w:r>
          </w:p>
        </w:tc>
      </w:tr>
    </w:tbl>
    <w:p>
      <w:pPr>
        <w:pStyle w:val="BodyText"/>
      </w:pPr>
      <w:r>
        <w:t xml:space="preserve">fdafdfasdf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94"/>
        <w:gridCol w:w="2772"/>
        <w:gridCol w:w="1255"/>
        <w:gridCol w:w="2481"/>
        <w:gridCol w:w="1203"/>
        <w:gridCol w:w="2201"/>
        <w:gridCol w:w="1092"/>
      </w:tblGrid>
      <w:tr>
        <w:trPr>
          <w:cantSplit/>
          <w:trHeight w:val="630" w:hRule="auto"/>
          <w:tblHeader/>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3: Stage 2 Mega-Analysis and Replication Results</w:t>
            </w:r>
          </w:p>
        </w:tc>
      </w:tr>
      <w:tr>
        <w:trPr>
          <w:cantSplit/>
          <w:trHeight w:val="63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Stage 2 Mega-Analysis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63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1.46 [1.24-1.72]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FLJ30838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rs13082422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22,338,009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ZNF385D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[1.12-1.34]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1.55 [1.27-1.88]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rs7675509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161,518,462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FSTL5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rs10050232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168,333,572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SPOCK3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[1.14-1.38]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rs6898408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58,406,648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PDE4D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[1.12-1.35]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 [1.2-1.5]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4.75 [1.42-15.91]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[0.52-1.13]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1.58 [1.33-1.87]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26.49 [2.07-338.8]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0.81 [0.47-1.4]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Stage 2 mega-analysis OR &gt;= 1.</w:t>
            </w:r>
          </w:p>
        </w:tc>
      </w:tr>
    </w:tbl>
    <w:p>
      <w:pPr>
        <w:pStyle w:val="BodyText"/>
      </w:pPr>
      <w:r>
        <w:t xml:space="preserve">fdsafdsaf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55"/>
        <w:gridCol w:w="1066"/>
        <w:gridCol w:w="2201"/>
        <w:gridCol w:w="1255"/>
      </w:tblGrid>
      <w:tr>
        <w:trPr>
          <w:cantSplit/>
          <w:trHeight w:val="607"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4: Stage 3 Mega-Analysis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[1.23-1.69]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[1.13-1.34]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[1.17-1.45]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rs10738370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14,582,342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ZDHHC21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[1.13-1.38]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 [1.28-1.78]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7.1e-07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rs76828179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32,594,268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FGD4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[1.19-1.56]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rs415468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44,456,672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19,745,011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8.5e-06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OR &gt;= 1.</w:t>
            </w:r>
          </w:p>
        </w:tc>
      </w:tr>
    </w:tbl>
    <w:p>
      <w:pPr>
        <w:pStyle w:val="BodyText"/>
      </w:pPr>
      <w:r>
        <w:t xml:space="preserve">fdsafadsfdsa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5: Expression Quantitative Trait Loci (eQTL) Colocalizing with B-ASC Risk</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Phenotype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Tissue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PPH4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rs4608937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NSD1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Heart: Atrial Appendage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ELOVL4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Caudate basal ganglia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Cells: Cultured fibroblasts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Cerebellum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RIN2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Thyroid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single-nucleotide polymorphism; CHR, Chromosome; PPH$, posterior probability of colocalization</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*Denotes sQTL phenotype</w:t>
            </w:r>
          </w:p>
        </w:tc>
      </w:tr>
    </w:tbl>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dni.loni.usc.edu/" TargetMode="External" /><Relationship Type="http://schemas.openxmlformats.org/officeDocument/2006/relationships/hyperlink" Id="rId56" Target="http://adni.loni.usc.edu/wp-content/uploads/how_to_apply/ADNI_Acknowledgement_List.pdf" TargetMode="External" /><Relationship Type="http://schemas.openxmlformats.org/officeDocument/2006/relationships/hyperlink" Id="rId59" Target="http://journals.sagepub.com/home/jcb" TargetMode="External" /><Relationship Type="http://schemas.openxmlformats.org/officeDocument/2006/relationships/hyperlink" Id="rId79" Target="http://www.adgenetics.org/" TargetMode="External" /><Relationship Type="http://schemas.openxmlformats.org/officeDocument/2006/relationships/hyperlink" Id="rId121" Target="http://www.ncbi.nlm.nih.gov/books/NBK1319/" TargetMode="External" /><Relationship Type="http://schemas.openxmlformats.org/officeDocument/2006/relationships/hyperlink" Id="rId110" Target="https://CRAN.R-project.org/package=GMMAT" TargetMode="External" /><Relationship Type="http://schemas.openxmlformats.org/officeDocument/2006/relationships/hyperlink" Id="rId101" Target="https://CRAN.R-project.org/package=brant" TargetMode="External" /><Relationship Type="http://schemas.openxmlformats.org/officeDocument/2006/relationships/hyperlink" Id="rId37" Target="https://ctg.cncr.nl/software/magma" TargetMode="External" /><Relationship Type="http://schemas.openxmlformats.org/officeDocument/2006/relationships/hyperlink" Id="rId124" Target="https://doi.org/10.1002/brb3.1610" TargetMode="External" /><Relationship Type="http://schemas.openxmlformats.org/officeDocument/2006/relationships/hyperlink" Id="rId114" Target="https://doi.org/10.1093/bioinformatics/btz567" TargetMode="External" /><Relationship Type="http://schemas.openxmlformats.org/officeDocument/2006/relationships/hyperlink" Id="rId86" Target="https://doi.org/10.1186/s13742-015-0047-8" TargetMode="External" /><Relationship Type="http://schemas.openxmlformats.org/officeDocument/2006/relationships/hyperlink" Id="rId31" Target="https://files.alz.washington.edu/documentation/np10-guidebook.pdf" TargetMode="External" /><Relationship Type="http://schemas.openxmlformats.org/officeDocument/2006/relationships/hyperlink" Id="rId54" Target="https://fnih.org/" TargetMode="External" /><Relationship Type="http://schemas.openxmlformats.org/officeDocument/2006/relationships/hyperlink" Id="rId34" Target="https://github.com/KBoehme/ADGC_HRC_MERGE" TargetMode="External" /><Relationship Type="http://schemas.openxmlformats.org/officeDocument/2006/relationships/hyperlink" Id="rId112" Target="https://github.com/UW-GAC/GENESIS" TargetMode="External" /><Relationship Type="http://schemas.openxmlformats.org/officeDocument/2006/relationships/hyperlink" Id="rId60" Target="https://github.com/lincoln-shade/arter" TargetMode="External" /><Relationship Type="http://schemas.openxmlformats.org/officeDocument/2006/relationships/hyperlink" Id="rId89" Target="https://www.R-project.org/" TargetMode="External" /><Relationship Type="http://schemas.openxmlformats.org/officeDocument/2006/relationships/hyperlink" Id="rId96" Target="https://www.cog-genomics.org/plink/1.9/" TargetMode="External" /><Relationship Type="http://schemas.openxmlformats.org/officeDocument/2006/relationships/hyperlink" Id="rId39" Target="https://www.gtexportal.org/home/datasets" TargetMode="External" /><Relationship Type="http://schemas.openxmlformats.org/officeDocument/2006/relationships/hyperlink" Id="rId107" Target="https://www.gtexportal.org/home/gene/ENSG00000183662.6#geneExpression" TargetMode="External" /><Relationship Type="http://schemas.openxmlformats.org/officeDocument/2006/relationships/hyperlink" Id="rId22" Target="mailto:david.fardo@uky.edu" TargetMode="External" /></Relationships>
</file>

<file path=word/_rels/footnotes.xml.rels><?xml version="1.0" encoding="UTF-8"?><Relationships xmlns="http://schemas.openxmlformats.org/package/2006/relationships"><Relationship Type="http://schemas.openxmlformats.org/officeDocument/2006/relationships/hyperlink" Id="rId29" Target="http://adni.loni.usc.edu/" TargetMode="External" /><Relationship Type="http://schemas.openxmlformats.org/officeDocument/2006/relationships/hyperlink" Id="rId56" Target="http://adni.loni.usc.edu/wp-content/uploads/how_to_apply/ADNI_Acknowledgement_List.pdf" TargetMode="External" /><Relationship Type="http://schemas.openxmlformats.org/officeDocument/2006/relationships/hyperlink" Id="rId59" Target="http://journals.sagepub.com/home/jcb" TargetMode="External" /><Relationship Type="http://schemas.openxmlformats.org/officeDocument/2006/relationships/hyperlink" Id="rId79" Target="http://www.adgenetics.org/" TargetMode="External" /><Relationship Type="http://schemas.openxmlformats.org/officeDocument/2006/relationships/hyperlink" Id="rId121" Target="http://www.ncbi.nlm.nih.gov/books/NBK1319/" TargetMode="External" /><Relationship Type="http://schemas.openxmlformats.org/officeDocument/2006/relationships/hyperlink" Id="rId110" Target="https://CRAN.R-project.org/package=GMMAT" TargetMode="External" /><Relationship Type="http://schemas.openxmlformats.org/officeDocument/2006/relationships/hyperlink" Id="rId101" Target="https://CRAN.R-project.org/package=brant" TargetMode="External" /><Relationship Type="http://schemas.openxmlformats.org/officeDocument/2006/relationships/hyperlink" Id="rId37" Target="https://ctg.cncr.nl/software/magma" TargetMode="External" /><Relationship Type="http://schemas.openxmlformats.org/officeDocument/2006/relationships/hyperlink" Id="rId124" Target="https://doi.org/10.1002/brb3.1610" TargetMode="External" /><Relationship Type="http://schemas.openxmlformats.org/officeDocument/2006/relationships/hyperlink" Id="rId114" Target="https://doi.org/10.1093/bioinformatics/btz567" TargetMode="External" /><Relationship Type="http://schemas.openxmlformats.org/officeDocument/2006/relationships/hyperlink" Id="rId86" Target="https://doi.org/10.1186/s13742-015-0047-8" TargetMode="External" /><Relationship Type="http://schemas.openxmlformats.org/officeDocument/2006/relationships/hyperlink" Id="rId31" Target="https://files.alz.washington.edu/documentation/np10-guidebook.pdf" TargetMode="External" /><Relationship Type="http://schemas.openxmlformats.org/officeDocument/2006/relationships/hyperlink" Id="rId54" Target="https://fnih.org/" TargetMode="External" /><Relationship Type="http://schemas.openxmlformats.org/officeDocument/2006/relationships/hyperlink" Id="rId34" Target="https://github.com/KBoehme/ADGC_HRC_MERGE" TargetMode="External" /><Relationship Type="http://schemas.openxmlformats.org/officeDocument/2006/relationships/hyperlink" Id="rId112" Target="https://github.com/UW-GAC/GENESIS" TargetMode="External" /><Relationship Type="http://schemas.openxmlformats.org/officeDocument/2006/relationships/hyperlink" Id="rId60" Target="https://github.com/lincoln-shade/arter" TargetMode="External" /><Relationship Type="http://schemas.openxmlformats.org/officeDocument/2006/relationships/hyperlink" Id="rId89" Target="https://www.R-project.org/" TargetMode="External" /><Relationship Type="http://schemas.openxmlformats.org/officeDocument/2006/relationships/hyperlink" Id="rId96" Target="https://www.cog-genomics.org/plink/1.9/" TargetMode="External" /><Relationship Type="http://schemas.openxmlformats.org/officeDocument/2006/relationships/hyperlink" Id="rId39" Target="https://www.gtexportal.org/home/datasets" TargetMode="External" /><Relationship Type="http://schemas.openxmlformats.org/officeDocument/2006/relationships/hyperlink" Id="rId107" Target="https://www.gtexportal.org/home/gene/ENSG00000183662.6#geneExpression" TargetMode="External" /><Relationship Type="http://schemas.openxmlformats.org/officeDocument/2006/relationships/hyperlink" Id="rId22"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2021-09-18T16:41:25Z</dcterms:created>
  <dcterms:modified xsi:type="dcterms:W3CDTF">2021-09-18T16:41:25Z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doc/sage_vancouver.csl</vt:lpwstr>
  </property>
  <property fmtid="{D5CDD505-2E9C-101B-9397-08002B2CF9AE}" pid="4" name="link-citations">
    <vt:lpwstr>True</vt:lpwstr>
  </property>
  <property fmtid="{D5CDD505-2E9C-101B-9397-08002B2CF9AE}" pid="5" name="output">
    <vt:lpwstr>word_document</vt:lpwstr>
  </property>
</Properties>
</file>