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upplementary-material"/>
    <w:p>
      <w:pPr>
        <w:pStyle w:val="Heading1"/>
      </w:pPr>
      <w:r>
        <w:t xml:space="preserve">Supplementary Material</w:t>
      </w:r>
    </w:p>
    <w:bookmarkStart w:id="24" w:name="nacc-exclusion-criteria"/>
    <w:p>
      <w:pPr>
        <w:pStyle w:val="Heading2"/>
      </w:pPr>
      <w:r>
        <w:t xml:space="preserve">NACC Exclusion Criteria</w:t>
      </w:r>
    </w:p>
    <w:p>
      <w:pPr>
        <w:pStyle w:val="FirstParagraph"/>
      </w:pPr>
      <w:r>
        <w:t xml:space="preserve">National Alzheimer’s Coordinating Center (NACC) participants were excluded if they had any of the following conditions noted in the NACC Neuropathology Data Set. Variable names and descriptions are taken from</w:t>
      </w:r>
      <w:r>
        <w:t xml:space="preserve"> </w:t>
      </w:r>
      <w:hyperlink r:id="rId20">
        <w:r>
          <w:rPr>
            <w:rStyle w:val="Hyperlink"/>
          </w:rPr>
          <w:t xml:space="preserve">https://files.alz.washington.edu/documentation/rdd-np.pdf</w:t>
        </w:r>
      </w:hyperlink>
      <w:r>
        <w:t xml:space="preserve">. Variable descriptions may be lightly edited. Participants were not excluding for missing data in any of these fields.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S1: NACC Exclusion Criteria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NACC 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NACCDOWN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 syndrom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NPPDXB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system atrophy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NPPDXE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Malformation of cortical development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NPPDXD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Trinucleotide disease (Huntington disease, SCA, other)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NPPDXF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Metabolic/storage disorder of any type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NPPDXG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matter disease, leukodystrophy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NPPDXH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matter disease, multiple sclerosis or other demyelinating disease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NPPDXI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Contusion/traumatic brain injury of any type, acute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NPPDXJ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Contusion/traumatic brain injury of any type, chronic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NPPDXK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Neoplasm, primary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NPPDXL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Neoplasm, metastatic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NPPDXM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process of any type (encephalitis, abscess, etc.)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NPPDXN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Herniation, any site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NACCPRIO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Prion disease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NPPATH10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CADASIL (hereditary stroke disorder)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NPALSMND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ALS/motor neuron disease (MND)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NPFTDTAU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FTLD with tau pathology (FTLD-tau) or other tauopathy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NPFTDTDP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FTLD with TDP- 43 pathology (FTLD-TDP)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NPOFTD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FTLD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NPPDXA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Pigment-spheroid degeneration/NBIA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7"/>
        <w:gridCol w:w="2192"/>
        <w:gridCol w:w="2192"/>
        <w:gridCol w:w="2192"/>
        <w:gridCol w:w="2262"/>
        <w:gridCol w:w="2192"/>
      </w:tblGrid>
      <w:tr>
        <w:trPr>
          <w:cantSplit/>
          <w:trHeight w:val="581" w:hRule="auto"/>
          <w:tblHeader/>
        </w:trPr>
        header 1
        <w:tc>
          <w:tcPr>
            <w:gridSpan w:val="6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S2: Participant Demographics</w:t>
            </w:r>
          </w:p>
        </w:tc>
      </w:tr>
      <w:tr>
        <w:trPr>
          <w:cantSplit/>
          <w:trHeight w:val="581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ROSMAP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cantSplit/>
          <w:trHeight w:val="60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(N=5625)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(N=1183)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(N=616)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(N=7463)</w:t>
            </w:r>
          </w:p>
        </w:tc>
      </w:tr>
      <w:tr>
        <w:trPr>
          <w:cantSplit/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2809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3960 (53.1%)</w:t>
            </w:r>
          </w:p>
        </w:tc>
      </w:tr>
      <w:tr>
        <w:trPr>
          <w:cantSplit/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2816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3503 (46.9%)</w:t>
            </w:r>
          </w:p>
        </w:tc>
      </w:tr>
      <w:tr>
        <w:trPr>
          <w:cantSplit/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of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 (9.71)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(6.48)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88.4 (6.68)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 (7.90)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 (9.66)</w:t>
            </w:r>
          </w:p>
        </w:tc>
      </w:tr>
      <w:tr>
        <w:trPr>
          <w:cantSplit/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[39.0, 111]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 [66.0, 108]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 [70.0, 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 [59.0,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 [39.0, 111]</w:t>
            </w:r>
          </w:p>
        </w:tc>
      </w:tr>
      <w:tr>
        <w:trPr>
          <w:cantSplit/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APOE e4 alleles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2533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3876 (51.9%)</w:t>
            </w:r>
          </w:p>
        </w:tc>
      </w:tr>
      <w:tr>
        <w:trPr>
          <w:cantSplit/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2892 (38.8%)</w:t>
            </w:r>
          </w:p>
        </w:tc>
      </w:tr>
      <w:tr>
        <w:trPr>
          <w:cantSplit/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(9.3%)</w:t>
            </w:r>
          </w:p>
        </w:tc>
      </w:tr>
      <w:tr>
        <w:trPr>
          <w:cantSplit/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945 (12.7%)</w:t>
            </w:r>
          </w:p>
        </w:tc>
      </w:tr>
      <w:tr>
        <w:trPr>
          <w:cantSplit/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 (9.8%)</w:t>
            </w:r>
          </w:p>
        </w:tc>
      </w:tr>
      <w:tr>
        <w:trPr>
          <w:cantSplit/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1559 (20.9%)</w:t>
            </w:r>
          </w:p>
        </w:tc>
      </w:tr>
      <w:tr>
        <w:trPr>
          <w:cantSplit/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3627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4208 (56.4%)</w:t>
            </w:r>
          </w:p>
        </w:tc>
      </w:tr>
      <w:tr>
        <w:trPr>
          <w:cantSplit/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(0.2%)</w:t>
            </w:r>
          </w:p>
        </w:tc>
      </w:tr>
      <w:tr>
        <w:trPr>
          <w:cantSplit/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Braak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(1.4%)</w:t>
            </w:r>
          </w:p>
        </w:tc>
      </w:tr>
      <w:tr>
        <w:trPr>
          <w:cantSplit/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(4.4%)</w:t>
            </w:r>
          </w:p>
        </w:tc>
      </w:tr>
      <w:tr>
        <w:trPr>
          <w:cantSplit/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(7.6%)</w:t>
            </w:r>
          </w:p>
        </w:tc>
      </w:tr>
      <w:tr>
        <w:trPr>
          <w:cantSplit/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 (11.4%)</w:t>
            </w:r>
          </w:p>
        </w:tc>
      </w:tr>
      <w:tr>
        <w:trPr>
          <w:cantSplit/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1294 (17.3%)</w:t>
            </w:r>
          </w:p>
        </w:tc>
      </w:tr>
      <w:tr>
        <w:trPr>
          <w:cantSplit/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1418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1876 (25.1%)</w:t>
            </w:r>
          </w:p>
        </w:tc>
      </w:tr>
      <w:tr>
        <w:trPr>
          <w:cantSplit/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2321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2426 (32.5%)</w:t>
            </w:r>
          </w:p>
        </w:tc>
      </w:tr>
      <w:tr>
        <w:trPr>
          <w:cantSplit/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(0.3%)</w:t>
            </w:r>
          </w:p>
        </w:tc>
      </w:tr>
      <w:tr>
        <w:trPr>
          <w:cantSplit/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Amyloid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(8.5%)</w:t>
            </w:r>
          </w:p>
        </w:tc>
      </w:tr>
      <w:tr>
        <w:trPr>
          <w:cantSplit/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 (12.0%)</w:t>
            </w:r>
          </w:p>
        </w:tc>
      </w:tr>
      <w:tr>
        <w:trPr>
          <w:cantSplit/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1180 (15.8%)</w:t>
            </w:r>
          </w:p>
        </w:tc>
      </w:tr>
      <w:tr>
        <w:trPr>
          <w:cantSplit/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2909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3379 (45.3%)</w:t>
            </w:r>
          </w:p>
        </w:tc>
      </w:tr>
      <w:tr>
        <w:trPr>
          <w:cantSplit/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1011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1378 (18.5%)</w:t>
            </w:r>
          </w:p>
        </w:tc>
      </w:tr>
      <w:tr>
        <w:trPr>
          <w:cantSplit/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Arteriolosclerosis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1173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1588 (21.3%)</w:t>
            </w:r>
          </w:p>
        </w:tc>
      </w:tr>
      <w:tr>
        <w:trPr>
          <w:cantSplit/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1472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 (27.1%)</w:t>
            </w:r>
          </w:p>
        </w:tc>
      </w:tr>
      <w:tr>
        <w:trPr>
          <w:cantSplit/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1947 (26.1%)</w:t>
            </w:r>
          </w:p>
        </w:tc>
      </w:tr>
      <w:tr>
        <w:trPr>
          <w:cantSplit/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(10.5%)</w:t>
            </w:r>
          </w:p>
        </w:tc>
      </w:tr>
      <w:tr>
        <w:trPr>
          <w:cantSplit/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 (15.0%)</w:t>
            </w:r>
          </w:p>
        </w:tc>
      </w:tr>
      <w:tr>
        <w:trPr>
          <w:cantSplit/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Atherosclerosis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1172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1399 (18.7%)</w:t>
            </w:r>
          </w:p>
        </w:tc>
      </w:tr>
      <w:tr>
        <w:trPr>
          <w:cantSplit/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1915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2544 (34.1%)</w:t>
            </w:r>
          </w:p>
        </w:tc>
      </w:tr>
      <w:tr>
        <w:trPr>
          <w:cantSplit/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1910 (25.6%)</w:t>
            </w:r>
          </w:p>
        </w:tc>
      </w:tr>
      <w:tr>
        <w:trPr>
          <w:cantSplit/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1106 (14.8%)</w:t>
            </w:r>
          </w:p>
        </w:tc>
      </w:tr>
      <w:tr>
        <w:trPr>
          <w:cantSplit/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(6.8%)</w:t>
            </w:r>
          </w:p>
        </w:tc>
      </w:tr>
      <w:tr>
        <w:trPr>
          <w:cantSplit/>
          <w:trHeight w:val="57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1817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2462 (33.0%)</w:t>
            </w:r>
          </w:p>
        </w:tc>
      </w:tr>
      <w:tr>
        <w:trPr>
          <w:cantSplit/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2112 (28.3%)</w:t>
            </w:r>
          </w:p>
        </w:tc>
      </w:tr>
      <w:tr>
        <w:trPr>
          <w:cantSplit/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1250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(21.8%)</w:t>
            </w:r>
          </w:p>
        </w:tc>
      </w:tr>
      <w:tr>
        <w:trPr>
          <w:cantSplit/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 (11.3%)</w:t>
            </w:r>
          </w:p>
        </w:tc>
      </w:tr>
      <w:tr>
        <w:trPr>
          <w:cantSplit/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(5.6%)</w:t>
            </w:r>
          </w:p>
        </w:tc>
      </w:tr>
      <w:tr>
        <w:trPr>
          <w:cantSplit/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1285 (17.2%)</w:t>
            </w:r>
          </w:p>
        </w:tc>
      </w:tr>
      <w:tr>
        <w:trPr>
          <w:cantSplit/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(3.2%)</w:t>
            </w:r>
          </w:p>
        </w:tc>
      </w:tr>
      <w:tr>
        <w:trPr>
          <w:cantSplit/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(5.2%)</w:t>
            </w:r>
          </w:p>
        </w:tc>
      </w:tr>
      <w:tr>
        <w:trPr>
          <w:cantSplit/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(4.1%)</w:t>
            </w:r>
          </w:p>
        </w:tc>
      </w:tr>
      <w:tr>
        <w:trPr>
          <w:cantSplit/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4526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5239 (70.2%)</w:t>
            </w:r>
          </w:p>
        </w:tc>
      </w:tr>
      <w:tr>
        <w:trPr>
          <w:cantSplit/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Lewy 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3544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4890 (65.5%)</w:t>
            </w:r>
          </w:p>
        </w:tc>
      </w:tr>
      <w:tr>
        <w:trPr>
          <w:cantSplit/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(3.0%)</w:t>
            </w:r>
          </w:p>
        </w:tc>
      </w:tr>
      <w:tr>
        <w:trPr>
          <w:cantSplit/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(10.9%)</w:t>
            </w:r>
          </w:p>
        </w:tc>
      </w:tr>
      <w:tr>
        <w:trPr>
          <w:cantSplit/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(12.3%)</w:t>
            </w:r>
          </w:p>
        </w:tc>
      </w:tr>
      <w:tr>
        <w:trPr>
          <w:cantSplit/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(8.2%)</w:t>
            </w:r>
          </w:p>
        </w:tc>
      </w:tr>
      <w:tr>
        <w:trPr>
          <w:cantSplit/>
          <w:trHeight w:val="57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4514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1053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6136 (82.2%)</w:t>
            </w:r>
          </w:p>
        </w:tc>
      </w:tr>
      <w:tr>
        <w:trPr>
          <w:cantSplit/>
          <w:trHeight w:val="60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(9.3%)</w:t>
            </w:r>
          </w:p>
        </w:tc>
      </w:tr>
      <w:tr>
        <w:trPr>
          <w:cantSplit/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(8.4%)</w:t>
            </w:r>
          </w:p>
        </w:tc>
      </w:tr>
      <w:tr>
        <w:trPr>
          <w:cantSplit/>
          <w:trHeight w:val="581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Microinfarcts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4232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5391 (72.2%)</w:t>
            </w:r>
          </w:p>
        </w:tc>
      </w:tr>
      <w:tr>
        <w:trPr>
          <w:cantSplit/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1755 (23.5%)</w:t>
            </w:r>
          </w:p>
        </w:tc>
      </w:tr>
      <w:tr>
        <w:trPr>
          <w:cantSplit/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(4.2%)</w:t>
            </w:r>
          </w:p>
        </w:tc>
      </w:tr>
      <w:tr>
        <w:trPr>
          <w:cantSplit/>
          <w:trHeight w:val="581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Gross infarcts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4143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(63.7%)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5378 (72.1%)</w:t>
            </w:r>
          </w:p>
        </w:tc>
      </w:tr>
      <w:tr>
        <w:trPr>
          <w:cantSplit/>
          <w:trHeight w:val="60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1684 (22.6%)</w:t>
            </w:r>
          </w:p>
        </w:tc>
      </w:tr>
      <w:tr>
        <w:trPr>
          <w:cantSplit/>
          <w:trHeight w:val="624" w:hRule="auto"/>
        </w:trPr>
        body75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(6.9%)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(5.4%)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Key: SD, standard deviation; Min, minimum; Max, maximum. LATE-NC, LATE neuropathologic change HS, Hippocampal sclerosisAge of Death variable is integer in NACC, ADNI, and ACT but continuous in ROSMAP.</w:t>
            </w:r>
          </w:p>
        </w:tc>
      </w:tr>
    </w:tbl>
    <w:p>
      <w:r>
        <w:br w:type="page"/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Figure S1: Dendrogram of Neuropathology Endophenotype Polychoric Correlations" title="" id="22" name="Picture"/>
            <a:graphic>
              <a:graphicData uri="http://schemas.openxmlformats.org/drawingml/2006/picture">
                <pic:pic>
                  <pic:nvPicPr>
                    <pic:cNvPr descr="doc/figure_S1_dendrogram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S1: Dendrogram of Neuropathology Endophenotype Polychoric Correlations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files.alz.washington.edu/documentation/rdd-np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iles.alz.washington.edu/documentation/rdd-np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2022-11-02T19:00:34Z</dcterms:created>
  <dcterms:modified xsi:type="dcterms:W3CDTF">2022-11-02T19:00:34Z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