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2E6B8A"/>
          <w:sz w:val="18"/>
        </w:rPr>
        <w:t>BLUECARE TALLEYHAVEN</w:t>
      </w:r>
    </w:p>
    <w:p>
      <w:pPr>
        <w:pStyle w:val="Heading1"/>
        <w:jc w:val="left"/>
        <w:pBdr>
          <w:bottom w:val="single" w:sz="6" w:space="1" w:color="1A3A5C"/>
        </w:pBdr>
      </w:pPr>
      <w:r>
        <w:rPr>
          <w:sz w:val="48"/>
        </w:rPr>
        <w:t>NFC Resident Profile System</w:t>
      </w:r>
    </w:p>
    <w:p>
      <w:pPr>
        <w:jc w:val="left"/>
      </w:pPr>
      <w:r>
        <w:rPr>
          <w:b w:val="0"/>
          <w:color w:val="555555"/>
          <w:sz w:val="24"/>
        </w:rPr>
        <w:t>Project Development Log &amp; Documentation</w:t>
      </w:r>
    </w:p>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Developer</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Lincoln Huggard, Registered Nurse — Bluecare Talleyhaven</w:t>
            </w:r>
          </w:p>
        </w:tc>
      </w:tr>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Organisation</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Bluecare / UnitingCare Queensland</w:t>
            </w:r>
          </w:p>
        </w:tc>
      </w:tr>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Project Start</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21 March 2026</w:t>
            </w:r>
          </w:p>
        </w:tc>
      </w:tr>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Document Date</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29 March 2026</w:t>
            </w:r>
          </w:p>
        </w:tc>
      </w:tr>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Document Type</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Development Log &amp; Intellectual Property Record</w:t>
            </w:r>
          </w:p>
        </w:tc>
      </w:tr>
      <w:tr>
        <w:tc>
          <w:tcPr>
            <w:tcW w:type="dxa" w:w="2835"/>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color w:val="1A3A5C"/>
                <w:sz w:val="18"/>
              </w:rPr>
              <w:t>Status</w:t>
            </w:r>
          </w:p>
        </w:tc>
        <w:tc>
          <w:tcPr>
            <w:tcW w:type="dxa" w:w="62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20"/>
              </w:rPr>
              <w:t>Active — Ongoing Development</w:t>
            </w:r>
          </w:p>
        </w:tc>
      </w:tr>
    </w:tbl>
    <w:p/>
    <w:p>
      <w:pPr>
        <w:pStyle w:val="Heading1"/>
      </w:pPr>
      <w:r>
        <w:t>1. Project Overview</w:t>
      </w:r>
    </w:p>
    <w:p>
      <w:pPr>
        <w:jc w:val="left"/>
      </w:pPr>
      <w:r>
        <w:rPr>
          <w:b w:val="0"/>
        </w:rPr>
        <w:t>This document records the development of an NFC (Near Field Communication) based resident profile system for Bluecare Talleyhaven, a residential aged care facility in Queensland, Australia, operating under the BlueCare/UnitingCare organisation. The system was conceived, designed, and built by Lincoln Huggard RN, a Registered Nurse at the facility.</w:t>
      </w:r>
    </w:p>
    <w:p>
      <w:pPr>
        <w:jc w:val="left"/>
      </w:pPr>
      <w:r>
        <w:rPr>
          <w:b w:val="0"/>
        </w:rPr>
        <w:t>This document serves as a formal record of the project concept, development timeline, technical decisions, and intellectual property. It is intended to establish a clear record of the origin and development of this system.</w:t>
      </w:r>
    </w:p>
    <w:p>
      <w:pPr>
        <w:pStyle w:val="Heading2"/>
      </w:pPr>
      <w:r>
        <w:t>1.1 Problem Statement</w:t>
      </w:r>
    </w:p>
    <w:p>
      <w:pPr>
        <w:jc w:val="left"/>
      </w:pPr>
      <w:r>
        <w:rPr>
          <w:b w:val="0"/>
        </w:rPr>
        <w:t>Bluecare Talleyhaven regularly relies on agency staff and visiting clinicians who have limited familiarity with individual residents. Current practice requires these staff to either navigate the care management system or rely on verbal handover — both of which are time-consuming and inconsistent. This creates an information gap that can affect the quality and safety of care delivered, particularly regarding:</w:t>
      </w:r>
    </w:p>
    <w:p>
      <w:pPr>
        <w:pStyle w:val="ListBullet"/>
        <w:spacing w:after="60"/>
        <w:ind w:left="283"/>
      </w:pPr>
      <w:r>
        <w:rPr>
          <w:rFonts w:ascii="Arial" w:hAnsi="Arial"/>
          <w:sz w:val="21"/>
        </w:rPr>
        <w:t>Resident communication preferences and preferred names</w:t>
      </w:r>
    </w:p>
    <w:p>
      <w:pPr>
        <w:pStyle w:val="ListBullet"/>
        <w:spacing w:after="60"/>
        <w:ind w:left="283"/>
      </w:pPr>
      <w:r>
        <w:rPr>
          <w:rFonts w:ascii="Arial" w:hAnsi="Arial"/>
          <w:sz w:val="21"/>
        </w:rPr>
        <w:t>Known behavioural triggers and de-escalation strategies</w:t>
      </w:r>
    </w:p>
    <w:p>
      <w:pPr>
        <w:pStyle w:val="ListBullet"/>
        <w:spacing w:after="60"/>
        <w:ind w:left="283"/>
      </w:pPr>
      <w:r>
        <w:rPr>
          <w:rFonts w:ascii="Arial" w:hAnsi="Arial"/>
          <w:sz w:val="21"/>
        </w:rPr>
        <w:t>Clinical risk flags including falls risk, dietary requirements, and pressure area protocols</w:t>
      </w:r>
    </w:p>
    <w:p>
      <w:pPr>
        <w:pStyle w:val="ListBullet"/>
        <w:spacing w:after="60"/>
        <w:ind w:left="283"/>
      </w:pPr>
      <w:r>
        <w:rPr>
          <w:rFonts w:ascii="Arial" w:hAnsi="Arial"/>
          <w:sz w:val="21"/>
        </w:rPr>
        <w:t>Resuscitation status and restrictive practice information</w:t>
      </w:r>
    </w:p>
    <w:p>
      <w:pPr>
        <w:pStyle w:val="ListBullet"/>
        <w:spacing w:after="60"/>
        <w:ind w:left="283"/>
      </w:pPr>
      <w:r>
        <w:rPr>
          <w:rFonts w:ascii="Arial" w:hAnsi="Arial"/>
          <w:sz w:val="21"/>
        </w:rPr>
        <w:t>Personal care aids and equipment requirements</w:t>
      </w:r>
    </w:p>
    <w:p>
      <w:pPr>
        <w:pStyle w:val="Heading2"/>
      </w:pPr>
      <w:r>
        <w:t>1.2 Solution Concept</w:t>
      </w:r>
    </w:p>
    <w:p>
      <w:pPr>
        <w:jc w:val="left"/>
      </w:pPr>
      <w:r>
        <w:rPr>
          <w:b w:val="0"/>
        </w:rPr>
        <w:t>The NFC Resident Profile System enables staff to tap a small NFC sticker tag mounted on a resident's door frame with any modern smartphone. The phone opens the resident's profile page instantly in the browser — requiring no app installation, no login to a care system, and no prior knowledge of the resident. A shared PIN provides basic access control.</w:t>
      </w:r>
    </w:p>
    <w:p>
      <w:pPr>
        <w:jc w:val="left"/>
      </w:pPr>
      <w:r>
        <w:rPr>
          <w:b w:val="0"/>
        </w:rPr>
        <w:t>The system is explicitly designed as a point-of-care communication aid, not a replacement for the formal care plan or clinical documentation system.</w:t>
      </w:r>
    </w:p>
    <w:p>
      <w:pPr>
        <w:pStyle w:val="Heading1"/>
      </w:pPr>
      <w:r>
        <w:t>2. Development Timeline</w:t>
      </w:r>
    </w:p>
    <w:p>
      <w:pPr>
        <w:jc w:val="left"/>
      </w:pPr>
      <w:r>
        <w:rPr>
          <w:b w:val="0"/>
        </w:rPr>
        <w:t>All development work was carried out by Lincoln Huggard RN. The following records the chronological development of the system components.</w:t>
      </w:r>
    </w:p>
    <w:p>
      <w:pPr>
        <w:pStyle w:val="Heading2"/>
      </w:pPr>
      <w:r>
        <w:rPr>
          <w:b/>
        </w:rPr>
        <w:t xml:space="preserve">21 March 2026 — Phase 1 — </w:t>
      </w:r>
      <w:r>
        <w:rPr>
          <w:b w:val="0"/>
          <w:color w:val="3D4A3E"/>
        </w:rPr>
        <w:t>Initial Concept &amp; Core Profile Template</w:t>
      </w:r>
    </w:p>
    <w:p>
      <w:pPr>
        <w:pStyle w:val="ListBullet"/>
        <w:spacing w:after="60"/>
        <w:ind w:left="283"/>
      </w:pPr>
      <w:r>
        <w:rPr>
          <w:rFonts w:ascii="Arial" w:hAnsi="Arial"/>
          <w:sz w:val="21"/>
        </w:rPr>
        <w:t>Concept originated during discussion of NFC tag applications in aged care settings</w:t>
      </w:r>
    </w:p>
    <w:p>
      <w:pPr>
        <w:pStyle w:val="ListBullet"/>
        <w:spacing w:after="60"/>
        <w:ind w:left="283"/>
      </w:pPr>
      <w:r>
        <w:rPr>
          <w:rFonts w:ascii="Arial" w:hAnsi="Arial"/>
          <w:sz w:val="21"/>
        </w:rPr>
        <w:t>Identified the specific use case of resident door frame profiles for agency and visiting staff</w:t>
      </w:r>
    </w:p>
    <w:p>
      <w:pPr>
        <w:pStyle w:val="ListBullet"/>
        <w:spacing w:after="60"/>
        <w:ind w:left="283"/>
      </w:pPr>
      <w:r>
        <w:rPr>
          <w:rFonts w:ascii="Arial" w:hAnsi="Arial"/>
          <w:sz w:val="21"/>
        </w:rPr>
        <w:t>Designed the core resident profile HTML template with five structured sections: Identity &amp; Communication, Routine &amp; Care Preferences, Behavioural &amp; Emotional, Clinical Flags, and a footer with last-updated timestamp</w:t>
      </w:r>
    </w:p>
    <w:p>
      <w:pPr>
        <w:pStyle w:val="ListBullet"/>
        <w:spacing w:after="60"/>
        <w:ind w:left="283"/>
      </w:pPr>
      <w:r>
        <w:rPr>
          <w:rFonts w:ascii="Arial" w:hAnsi="Arial"/>
          <w:sz w:val="21"/>
        </w:rPr>
        <w:t>Established ward structure: Acacia (rooms 1-12), Banksia (rooms 15-24), Grevillea (rooms 1-14), Jacaranda (rooms 1-12), Melaleuca (rooms 1-12)</w:t>
      </w:r>
    </w:p>
    <w:p>
      <w:pPr>
        <w:pStyle w:val="ListBullet"/>
        <w:spacing w:after="60"/>
        <w:ind w:left="283"/>
      </w:pPr>
      <w:r>
        <w:rPr>
          <w:rFonts w:ascii="Arial" w:hAnsi="Arial"/>
          <w:sz w:val="21"/>
        </w:rPr>
        <w:t>Designed for Bluecare Talleyhaven with facility branding in sage green colour scheme</w:t>
      </w:r>
    </w:p>
    <w:p>
      <w:pPr>
        <w:pStyle w:val="ListBullet"/>
        <w:spacing w:after="60"/>
        <w:ind w:left="283"/>
      </w:pPr>
      <w:r>
        <w:rPr>
          <w:rFonts w:ascii="Arial" w:hAnsi="Arial"/>
          <w:sz w:val="21"/>
        </w:rPr>
        <w:t>Mobile-first design optimised for phone screen viewing after NFC tap</w:t>
      </w:r>
    </w:p>
    <w:p/>
    <w:p>
      <w:pPr>
        <w:pStyle w:val="Heading2"/>
      </w:pPr>
      <w:r>
        <w:rPr>
          <w:b/>
        </w:rPr>
        <w:t xml:space="preserve">29 March 2026 — Phase 2 — </w:t>
      </w:r>
      <w:r>
        <w:rPr>
          <w:b w:val="0"/>
          <w:color w:val="3D4A3E"/>
        </w:rPr>
        <w:t>Profile Editor Tool</w:t>
      </w:r>
    </w:p>
    <w:p>
      <w:pPr>
        <w:pStyle w:val="ListBullet"/>
        <w:spacing w:after="60"/>
        <w:ind w:left="283"/>
      </w:pPr>
      <w:r>
        <w:rPr>
          <w:rFonts w:ascii="Arial" w:hAnsi="Arial"/>
          <w:sz w:val="21"/>
        </w:rPr>
        <w:t>Built a standalone HTML profile editor — a form-based tool for senior staff to create and edit resident profiles without coding knowledge</w:t>
      </w:r>
    </w:p>
    <w:p>
      <w:pPr>
        <w:pStyle w:val="ListBullet"/>
        <w:spacing w:after="60"/>
        <w:ind w:left="283"/>
      </w:pPr>
      <w:r>
        <w:rPr>
          <w:rFonts w:ascii="Arial" w:hAnsi="Arial"/>
          <w:sz w:val="21"/>
        </w:rPr>
        <w:t>Editor generates complete HTML profile files ready for hosting</w:t>
      </w:r>
    </w:p>
    <w:p>
      <w:pPr>
        <w:pStyle w:val="ListBullet"/>
        <w:spacing w:after="60"/>
        <w:ind w:left="283"/>
      </w:pPr>
      <w:r>
        <w:rPr>
          <w:rFonts w:ascii="Arial" w:hAnsi="Arial"/>
          <w:sz w:val="21"/>
        </w:rPr>
        <w:t>Includes all profile sections as editable form fields</w:t>
      </w:r>
    </w:p>
    <w:p>
      <w:pPr>
        <w:pStyle w:val="ListBullet"/>
        <w:spacing w:after="60"/>
        <w:ind w:left="283"/>
      </w:pPr>
      <w:r>
        <w:rPr>
          <w:rFonts w:ascii="Arial" w:hAnsi="Arial"/>
          <w:sz w:val="21"/>
        </w:rPr>
        <w:t>Quick risk flags grid with single-click selection</w:t>
      </w:r>
    </w:p>
    <w:p>
      <w:pPr>
        <w:pStyle w:val="ListBullet"/>
        <w:spacing w:after="60"/>
        <w:ind w:left="283"/>
      </w:pPr>
      <w:r>
        <w:rPr>
          <w:rFonts w:ascii="Arial" w:hAnsi="Arial"/>
          <w:sz w:val="21"/>
        </w:rPr>
        <w:t>Alert banner system with None / Amber Warning / Red Alert levels</w:t>
      </w:r>
    </w:p>
    <w:p>
      <w:pPr>
        <w:pStyle w:val="ListBullet"/>
        <w:spacing w:after="60"/>
        <w:ind w:left="283"/>
      </w:pPr>
      <w:r>
        <w:rPr>
          <w:rFonts w:ascii="Arial" w:hAnsi="Arial"/>
          <w:sz w:val="21"/>
        </w:rPr>
        <w:t>Auto-populated "Last Updated" timestamp and staff name field</w:t>
      </w:r>
    </w:p>
    <w:p>
      <w:pPr>
        <w:pStyle w:val="ListBullet"/>
        <w:spacing w:after="60"/>
        <w:ind w:left="283"/>
      </w:pPr>
      <w:r>
        <w:rPr>
          <w:rFonts w:ascii="Arial" w:hAnsi="Arial"/>
          <w:sz w:val="21"/>
        </w:rPr>
        <w:t>Download generated profile as correctly named HTML file</w:t>
      </w:r>
    </w:p>
    <w:p/>
    <w:p>
      <w:pPr>
        <w:pStyle w:val="Heading2"/>
      </w:pPr>
      <w:r>
        <w:rPr>
          <w:b/>
        </w:rPr>
        <w:t xml:space="preserve">29 March 2026 — Phase 3 — </w:t>
      </w:r>
      <w:r>
        <w:rPr>
          <w:b w:val="0"/>
          <w:color w:val="3D4A3E"/>
        </w:rPr>
        <w:t>Load &amp; Edit Existing Profiles</w:t>
      </w:r>
    </w:p>
    <w:p>
      <w:pPr>
        <w:pStyle w:val="ListBullet"/>
        <w:spacing w:after="60"/>
        <w:ind w:left="283"/>
      </w:pPr>
      <w:r>
        <w:rPr>
          <w:rFonts w:ascii="Arial" w:hAnsi="Arial"/>
          <w:sz w:val="21"/>
        </w:rPr>
        <w:t>Added Load Profile button — allows uploading an existing profile HTML file back into the editor for modification</w:t>
      </w:r>
    </w:p>
    <w:p>
      <w:pPr>
        <w:pStyle w:val="ListBullet"/>
        <w:spacing w:after="60"/>
        <w:ind w:left="283"/>
      </w:pPr>
      <w:r>
        <w:rPr>
          <w:rFonts w:ascii="Arial" w:hAnsi="Arial"/>
          <w:sz w:val="21"/>
        </w:rPr>
        <w:t>Implemented dual parsing strategy: JSON data block (primary) and text scraping fallback for legacy profiles</w:t>
      </w:r>
    </w:p>
    <w:p>
      <w:pPr>
        <w:pStyle w:val="ListBullet"/>
        <w:spacing w:after="60"/>
        <w:ind w:left="283"/>
      </w:pPr>
      <w:r>
        <w:rPr>
          <w:rFonts w:ascii="Arial" w:hAnsi="Arial"/>
          <w:sz w:val="21"/>
        </w:rPr>
        <w:t>Added hidden JSON data block embedded in every generated profile — ensures future-proof loading regardless of visual design changes</w:t>
      </w:r>
    </w:p>
    <w:p>
      <w:pPr>
        <w:pStyle w:val="ListBullet"/>
        <w:spacing w:after="60"/>
        <w:ind w:left="283"/>
      </w:pPr>
      <w:r>
        <w:rPr>
          <w:rFonts w:ascii="Arial" w:hAnsi="Arial"/>
          <w:sz w:val="21"/>
        </w:rPr>
        <w:t>Schema versioning implemented (schemaVersion field) to support forward compatibility</w:t>
      </w:r>
    </w:p>
    <w:p>
      <w:pPr>
        <w:pStyle w:val="ListBullet"/>
        <w:spacing w:after="60"/>
        <w:ind w:left="283"/>
      </w:pPr>
      <w:r>
        <w:rPr>
          <w:rFonts w:ascii="Arial" w:hAnsi="Arial"/>
          <w:sz w:val="21"/>
        </w:rPr>
        <w:t>Load banner confirms source and format of loaded profile</w:t>
      </w:r>
    </w:p>
    <w:p/>
    <w:p>
      <w:pPr>
        <w:pStyle w:val="Heading2"/>
      </w:pPr>
      <w:r>
        <w:rPr>
          <w:b/>
        </w:rPr>
        <w:t xml:space="preserve">29 March 2026 — Phase 4 — </w:t>
      </w:r>
      <w:r>
        <w:rPr>
          <w:b w:val="0"/>
          <w:color w:val="3D4A3E"/>
        </w:rPr>
        <w:t>Care Plan Import</w:t>
      </w:r>
    </w:p>
    <w:p>
      <w:pPr>
        <w:pStyle w:val="ListBullet"/>
        <w:spacing w:after="60"/>
        <w:ind w:left="283"/>
      </w:pPr>
      <w:r>
        <w:rPr>
          <w:rFonts w:ascii="Arial" w:hAnsi="Arial"/>
          <w:sz w:val="21"/>
        </w:rPr>
        <w:t>Added Import Care Plan modal — staff can paste free-text care plan summaries and the editor extracts relevant information</w:t>
      </w:r>
    </w:p>
    <w:p>
      <w:pPr>
        <w:pStyle w:val="ListBullet"/>
        <w:spacing w:after="60"/>
        <w:ind w:left="283"/>
      </w:pPr>
      <w:r>
        <w:rPr>
          <w:rFonts w:ascii="Arial" w:hAnsi="Arial"/>
          <w:sz w:val="21"/>
        </w:rPr>
        <w:t>Pattern-matching extraction for: name, preferred name, room, ward, hearing, vision, language, cognition, dietary information, mobility, falls risk, skin integrity, allergies, behavioural notes, and more</w:t>
      </w:r>
    </w:p>
    <w:p>
      <w:pPr>
        <w:pStyle w:val="ListBullet"/>
        <w:spacing w:after="60"/>
        <w:ind w:left="283"/>
      </w:pPr>
      <w:r>
        <w:rPr>
          <w:rFonts w:ascii="Arial" w:hAnsi="Arial"/>
          <w:sz w:val="21"/>
        </w:rPr>
        <w:t>Automatically ticks relevant risk flags based on detected keywords</w:t>
      </w:r>
    </w:p>
    <w:p>
      <w:pPr>
        <w:pStyle w:val="ListBullet"/>
        <w:spacing w:after="60"/>
        <w:ind w:left="283"/>
      </w:pPr>
      <w:r>
        <w:rPr>
          <w:rFonts w:ascii="Arial" w:hAnsi="Arial"/>
          <w:sz w:val="21"/>
        </w:rPr>
        <w:t>Auto-sets alert level to red and pre-fills alert message when high falls risk is detected</w:t>
      </w:r>
    </w:p>
    <w:p>
      <w:pPr>
        <w:pStyle w:val="ListBullet"/>
        <w:spacing w:after="60"/>
        <w:ind w:left="283"/>
      </w:pPr>
      <w:r>
        <w:rPr>
          <w:rFonts w:ascii="Arial" w:hAnsi="Arial"/>
          <w:sz w:val="21"/>
        </w:rPr>
        <w:t>Documented a recommended care plan text template for optimal extraction accuracy</w:t>
      </w:r>
    </w:p>
    <w:p>
      <w:pPr>
        <w:pStyle w:val="ListBullet"/>
        <w:spacing w:after="60"/>
        <w:ind w:left="283"/>
      </w:pPr>
      <w:r>
        <w:rPr>
          <w:rFonts w:ascii="Arial" w:hAnsi="Arial"/>
          <w:sz w:val="21"/>
        </w:rPr>
        <w:t>All extracted data remains editable before generating the profile</w:t>
      </w:r>
    </w:p>
    <w:p/>
    <w:p>
      <w:pPr>
        <w:pStyle w:val="Heading2"/>
      </w:pPr>
      <w:r>
        <w:rPr>
          <w:b/>
        </w:rPr>
        <w:t xml:space="preserve">29 March 2026 — Phase 5 — </w:t>
      </w:r>
      <w:r>
        <w:rPr>
          <w:b w:val="0"/>
          <w:color w:val="3D4A3E"/>
        </w:rPr>
        <w:t>GitHub Hosting &amp; Publishing</w:t>
      </w:r>
    </w:p>
    <w:p>
      <w:pPr>
        <w:pStyle w:val="ListBullet"/>
        <w:spacing w:after="60"/>
        <w:ind w:left="283"/>
      </w:pPr>
      <w:r>
        <w:rPr>
          <w:rFonts w:ascii="Arial" w:hAnsi="Arial"/>
          <w:sz w:val="21"/>
        </w:rPr>
        <w:t>Established GitHub repository: lincolnhuggard20/talleyhaven-profiles</w:t>
      </w:r>
    </w:p>
    <w:p>
      <w:pPr>
        <w:pStyle w:val="ListBullet"/>
        <w:spacing w:after="60"/>
        <w:ind w:left="283"/>
      </w:pPr>
      <w:r>
        <w:rPr>
          <w:rFonts w:ascii="Arial" w:hAnsi="Arial"/>
          <w:sz w:val="21"/>
        </w:rPr>
        <w:t>Enabled GitHub Pages for free public hosting of resident profile HTML files</w:t>
      </w:r>
    </w:p>
    <w:p>
      <w:pPr>
        <w:pStyle w:val="ListBullet"/>
        <w:spacing w:after="60"/>
        <w:ind w:left="283"/>
      </w:pPr>
      <w:r>
        <w:rPr>
          <w:rFonts w:ascii="Arial" w:hAnsi="Arial"/>
          <w:sz w:val="21"/>
        </w:rPr>
        <w:t>Implemented ward-based folder structure in repository: residents/acacia/, residents/banksia/, residents/grevillea/, residents/jacaranda/, residents/melaleuca/</w:t>
      </w:r>
    </w:p>
    <w:p>
      <w:pPr>
        <w:pStyle w:val="ListBullet"/>
        <w:spacing w:after="60"/>
        <w:ind w:left="283"/>
      </w:pPr>
      <w:r>
        <w:rPr>
          <w:rFonts w:ascii="Arial" w:hAnsi="Arial"/>
          <w:sz w:val="21"/>
        </w:rPr>
        <w:t>Built Publish to GitHub button in the editor — one-click publishing directly from the editor to the live repository</w:t>
      </w:r>
    </w:p>
    <w:p>
      <w:pPr>
        <w:pStyle w:val="ListBullet"/>
        <w:spacing w:after="60"/>
        <w:ind w:left="283"/>
      </w:pPr>
      <w:r>
        <w:rPr>
          <w:rFonts w:ascii="Arial" w:hAnsi="Arial"/>
          <w:sz w:val="21"/>
        </w:rPr>
        <w:t>Built Load from GitHub button — fetches existing profiles from repository back into editor by ward and room number selection</w:t>
      </w:r>
    </w:p>
    <w:p>
      <w:pPr>
        <w:pStyle w:val="ListBullet"/>
        <w:spacing w:after="60"/>
        <w:ind w:left="283"/>
      </w:pPr>
      <w:r>
        <w:rPr>
          <w:rFonts w:ascii="Arial" w:hAnsi="Arial"/>
          <w:sz w:val="21"/>
        </w:rPr>
        <w:t>GitHub credentials (username, repository, token) embedded in editor for seamless staff use</w:t>
      </w:r>
    </w:p>
    <w:p>
      <w:pPr>
        <w:pStyle w:val="ListBullet"/>
        <w:spacing w:after="60"/>
        <w:ind w:left="283"/>
      </w:pPr>
      <w:r>
        <w:rPr>
          <w:rFonts w:ascii="Arial" w:hAnsi="Arial"/>
          <w:sz w:val="21"/>
        </w:rPr>
        <w:t>Generated profile URLs follow consistent pattern for NFC tag programming</w:t>
      </w:r>
    </w:p>
    <w:p>
      <w:pPr>
        <w:pStyle w:val="ListBullet"/>
        <w:spacing w:after="60"/>
        <w:ind w:left="283"/>
      </w:pPr>
      <w:r>
        <w:rPr>
          <w:rFonts w:ascii="Arial" w:hAnsi="Arial"/>
          <w:sz w:val="21"/>
        </w:rPr>
        <w:t>Output section displays: filename, GitHub upload path, and complete NFC tag URL after generation</w:t>
      </w:r>
    </w:p>
    <w:p/>
    <w:p>
      <w:pPr>
        <w:pStyle w:val="Heading2"/>
      </w:pPr>
      <w:r>
        <w:rPr>
          <w:b/>
        </w:rPr>
        <w:t xml:space="preserve">29 March 2026 — Phase 6 — </w:t>
      </w:r>
      <w:r>
        <w:rPr>
          <w:b w:val="0"/>
          <w:color w:val="3D4A3E"/>
        </w:rPr>
        <w:t>Security — PIN Lock Screen</w:t>
      </w:r>
    </w:p>
    <w:p>
      <w:pPr>
        <w:pStyle w:val="ListBullet"/>
        <w:spacing w:after="60"/>
        <w:ind w:left="283"/>
      </w:pPr>
      <w:r>
        <w:rPr>
          <w:rFonts w:ascii="Arial" w:hAnsi="Arial"/>
          <w:sz w:val="21"/>
        </w:rPr>
        <w:t>Added PIN lock screen to all generated resident profiles</w:t>
      </w:r>
    </w:p>
    <w:p>
      <w:pPr>
        <w:pStyle w:val="ListBullet"/>
        <w:spacing w:after="60"/>
        <w:ind w:left="283"/>
      </w:pPr>
      <w:r>
        <w:rPr>
          <w:rFonts w:ascii="Arial" w:hAnsi="Arial"/>
          <w:sz w:val="21"/>
        </w:rPr>
        <w:t>Staff enter shared PIN (4228) before profile content is displayed</w:t>
      </w:r>
    </w:p>
    <w:p>
      <w:pPr>
        <w:pStyle w:val="ListBullet"/>
        <w:spacing w:after="60"/>
        <w:ind w:left="283"/>
      </w:pPr>
      <w:r>
        <w:rPr>
          <w:rFonts w:ascii="Arial" w:hAnsi="Arial"/>
          <w:sz w:val="21"/>
        </w:rPr>
        <w:t>Session-based authentication — PIN persists for browser session, not required again until browser is closed</w:t>
      </w:r>
    </w:p>
    <w:p>
      <w:pPr>
        <w:pStyle w:val="ListBullet"/>
        <w:spacing w:after="60"/>
        <w:ind w:left="283"/>
      </w:pPr>
      <w:r>
        <w:rPr>
          <w:rFonts w:ascii="Arial" w:hAnsi="Arial"/>
          <w:sz w:val="21"/>
        </w:rPr>
        <w:t>Lock screen displays Bluecare Talleyhaven branding and clear staff instruction</w:t>
      </w:r>
    </w:p>
    <w:p>
      <w:pPr>
        <w:pStyle w:val="ListBullet"/>
        <w:spacing w:after="60"/>
        <w:ind w:left="283"/>
      </w:pPr>
      <w:r>
        <w:rPr>
          <w:rFonts w:ascii="Arial" w:hAnsi="Arial"/>
          <w:sz w:val="21"/>
        </w:rPr>
        <w:t>Error animation and message on incorrect PIN entry</w:t>
      </w:r>
    </w:p>
    <w:p>
      <w:pPr>
        <w:pStyle w:val="ListBullet"/>
        <w:spacing w:after="60"/>
        <w:ind w:left="283"/>
      </w:pPr>
      <w:r>
        <w:rPr>
          <w:rFonts w:ascii="Arial" w:hAnsi="Arial"/>
          <w:sz w:val="21"/>
        </w:rPr>
        <w:t>PIN implemented via inline event handlers to avoid script tag parsing conflicts in HTML template generation</w:t>
      </w:r>
    </w:p>
    <w:p/>
    <w:p>
      <w:pPr>
        <w:pStyle w:val="Heading2"/>
      </w:pPr>
      <w:r>
        <w:rPr>
          <w:b/>
        </w:rPr>
        <w:t xml:space="preserve">29 March 2026 — Phase 7 — </w:t>
      </w:r>
      <w:r>
        <w:rPr>
          <w:b w:val="0"/>
          <w:color w:val="3D4A3E"/>
        </w:rPr>
        <w:t>Clinical &amp; Care Content Enhancements</w:t>
      </w:r>
    </w:p>
    <w:p>
      <w:pPr>
        <w:pStyle w:val="ListBullet"/>
        <w:spacing w:after="60"/>
        <w:ind w:left="283"/>
      </w:pPr>
      <w:r>
        <w:rPr>
          <w:rFonts w:ascii="Arial" w:hAnsi="Arial"/>
          <w:sz w:val="21"/>
        </w:rPr>
        <w:t>Added NFR / Resuscitation Status to alert banner: For Resuscitation (green) and Not for Resuscitation (red)</w:t>
      </w:r>
    </w:p>
    <w:p>
      <w:pPr>
        <w:pStyle w:val="ListBullet"/>
        <w:spacing w:after="60"/>
        <w:ind w:left="283"/>
      </w:pPr>
      <w:r>
        <w:rPr>
          <w:rFonts w:ascii="Arial" w:hAnsi="Arial"/>
          <w:sz w:val="21"/>
        </w:rPr>
        <w:t>Added Restrictive Practice toggles: Chemical Restraint, Environmental Restraint, Mechanical Restraint</w:t>
      </w:r>
    </w:p>
    <w:p>
      <w:pPr>
        <w:pStyle w:val="ListBullet"/>
        <w:spacing w:after="60"/>
        <w:ind w:left="283"/>
      </w:pPr>
      <w:r>
        <w:rPr>
          <w:rFonts w:ascii="Arial" w:hAnsi="Arial"/>
          <w:sz w:val="21"/>
        </w:rPr>
        <w:t>NFR and Restrictive Practice status displayed as prominent coloured bar at top of resident profile</w:t>
      </w:r>
    </w:p>
    <w:p>
      <w:pPr>
        <w:pStyle w:val="ListBullet"/>
        <w:spacing w:after="60"/>
        <w:ind w:left="283"/>
      </w:pPr>
      <w:r>
        <w:rPr>
          <w:rFonts w:ascii="Arial" w:hAnsi="Arial"/>
          <w:sz w:val="21"/>
        </w:rPr>
        <w:t>Updated Quick Risk Flags to focus on HIGH risk CDECT-relevant flags only: Falls Risk HIGH, Waterlow HIGH, Allergy Alert, Pressure Injury, Dementia, Wheelchair, Diabetes, Sundowning, and Restraint flags</w:t>
      </w:r>
    </w:p>
    <w:p>
      <w:pPr>
        <w:pStyle w:val="ListBullet"/>
        <w:spacing w:after="60"/>
        <w:ind w:left="283"/>
      </w:pPr>
      <w:r>
        <w:rPr>
          <w:rFonts w:ascii="Arial" w:hAnsi="Arial"/>
          <w:sz w:val="21"/>
        </w:rPr>
        <w:t>Renamed Skin Integrity field to Waterlow / Skin Integrity</w:t>
      </w:r>
    </w:p>
    <w:p>
      <w:pPr>
        <w:pStyle w:val="ListBullet"/>
        <w:spacing w:after="60"/>
        <w:ind w:left="283"/>
      </w:pPr>
      <w:r>
        <w:rPr>
          <w:rFonts w:ascii="Arial" w:hAnsi="Arial"/>
          <w:sz w:val="21"/>
        </w:rPr>
        <w:t>Added Care Aids &amp; Equipment section: Hearing Aids, Glasses/Vision Aids, Dentures, CPAP, Leg Protectors, Hip Protectors, Special Creams/Skin Products, Makeup/Personal Grooming</w:t>
      </w:r>
    </w:p>
    <w:p>
      <w:pPr>
        <w:pStyle w:val="ListBullet"/>
        <w:spacing w:after="60"/>
        <w:ind w:left="283"/>
      </w:pPr>
      <w:r>
        <w:rPr>
          <w:rFonts w:ascii="Arial" w:hAnsi="Arial"/>
          <w:sz w:val="21"/>
        </w:rPr>
        <w:t>Allergies field expanded to textarea to accommodate multiple entries</w:t>
      </w:r>
    </w:p>
    <w:p>
      <w:pPr>
        <w:pStyle w:val="ListBullet"/>
        <w:spacing w:after="60"/>
        <w:ind w:left="283"/>
      </w:pPr>
      <w:r>
        <w:rPr>
          <w:rFonts w:ascii="Arial" w:hAnsi="Arial"/>
          <w:sz w:val="21"/>
        </w:rPr>
        <w:t>JSON data block updated to schema version 2 to capture all new fields</w:t>
      </w:r>
    </w:p>
    <w:p/>
    <w:p>
      <w:pPr>
        <w:pStyle w:val="Heading1"/>
      </w:pPr>
      <w:r>
        <w:t>3. System Architecture &amp; Technical Decisions</w:t>
      </w:r>
    </w:p>
    <w:p>
      <w:pPr>
        <w:pStyle w:val="Heading2"/>
      </w:pPr>
      <w:r>
        <w:t>3.1 Technology Stack</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3A5C"/>
          </w:tcPr>
          <w:p>
            <w:pPr>
              <w:jc w:val="left"/>
            </w:pPr>
            <w:r>
              <w:rPr>
                <w:rFonts w:ascii="Arial" w:hAnsi="Arial"/>
                <w:b/>
                <w:color w:val="FFFFFF"/>
                <w:sz w:val="18"/>
              </w:rPr>
              <w:t>Component</w:t>
            </w:r>
          </w:p>
        </w:tc>
        <w:tc>
          <w:tcPr>
            <w:tcW w:type="dxa" w:w="4536"/>
            <w:shd w:val="clear" w:color="auto" w:fill="1A3A5C"/>
          </w:tcPr>
          <w:p>
            <w:pPr>
              <w:jc w:val="left"/>
            </w:pPr>
            <w:r>
              <w:rPr>
                <w:rFonts w:ascii="Arial" w:hAnsi="Arial"/>
                <w:b/>
                <w:color w:val="FFFFFF"/>
                <w:sz w:val="18"/>
              </w:rPr>
              <w:t>Technology / Decision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Profile Pages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Pure HTML/CSS — single self-contained files, no JavaScript framework, no external dependencies except Google Fonts</w:t>
            </w:r>
          </w:p>
        </w:tc>
      </w:tr>
      <w:tr>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Profile Editor</w:t>
            </w:r>
          </w:p>
        </w:tc>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Single HTML file with vanilla JavaScript — no build tools, no server required, opens directly in any browser</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Data Persistence</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Hidden JSON div embedded in each profile HTML file (schemaVersion 2) — data travels with the file, no database required</w:t>
            </w:r>
          </w:p>
        </w:tc>
      </w:tr>
      <w:tr>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Hosting</w:t>
            </w:r>
          </w:p>
        </w:tc>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GitHub Pages (current) — free, public repository; Netlify (evaluated) — faster deployment; future: internal server via Bluecare IT</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Publishing</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GitHub REST API v3 — editor calls API directly from browser to create/update files in repository</w:t>
            </w:r>
          </w:p>
        </w:tc>
      </w:tr>
      <w:tr>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NFC Tags</w:t>
            </w:r>
          </w:p>
        </w:tc>
        <w:tc>
          <w:tcPr>
            <w:tcW w:type="dxa" w:w="4536"/>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NTAG213 sticker or epoxy tags — programmed with profile URL using NFC Tools app (iOS/Android)</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sz w:val="19"/>
              </w:rPr>
              <w:t>Access Control</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jc w:val="left"/>
            </w:pPr>
            <w:r>
              <w:rPr>
                <w:rFonts w:ascii="Arial" w:hAnsi="Arial"/>
                <w:b w:val="0"/>
                <w:sz w:val="19"/>
              </w:rPr>
              <w:t>Shared PIN (session-based sessionStorage) — basic deterrent layer; full authentication planned for IT-managed hosting phase</w:t>
            </w:r>
          </w:p>
        </w:tc>
      </w:tr>
    </w:tbl>
    <w:p/>
    <w:p>
      <w:pPr>
        <w:pStyle w:val="Heading2"/>
      </w:pPr>
      <w:r>
        <w:t>3.2 Repository Structure</w:t>
      </w:r>
    </w:p>
    <w:p>
      <w:pPr>
        <w:jc w:val="left"/>
      </w:pPr>
      <w:r>
        <w:rPr>
          <w:b w:val="0"/>
        </w:rPr>
        <w:t>GitHub repository: lincolnhuggard20/talleyhaven-profiles</w:t>
      </w:r>
    </w:p>
    <w:p>
      <w:pPr>
        <w:spacing w:after="40"/>
        <w:ind w:left="283"/>
      </w:pPr>
      <w:r>
        <w:rPr>
          <w:rFonts w:ascii="Courier New" w:hAnsi="Courier New"/>
          <w:sz w:val="19"/>
        </w:rPr>
        <w:t>talleyhaven-profiles/ (root)</w:t>
      </w:r>
    </w:p>
    <w:p>
      <w:pPr>
        <w:spacing w:after="40"/>
        <w:ind w:left="283"/>
      </w:pPr>
      <w:r>
        <w:rPr>
          <w:rFonts w:ascii="Courier New" w:hAnsi="Courier New"/>
          <w:sz w:val="19"/>
        </w:rPr>
        <w:t xml:space="preserve">  residents/</w:t>
      </w:r>
    </w:p>
    <w:p>
      <w:pPr>
        <w:spacing w:after="40"/>
        <w:ind w:left="283"/>
      </w:pPr>
      <w:r>
        <w:rPr>
          <w:rFonts w:ascii="Courier New" w:hAnsi="Courier New"/>
          <w:sz w:val="19"/>
        </w:rPr>
        <w:t xml:space="preserve">    acacia/        — room-1.html through room-12.html</w:t>
      </w:r>
    </w:p>
    <w:p>
      <w:pPr>
        <w:spacing w:after="40"/>
        <w:ind w:left="283"/>
      </w:pPr>
      <w:r>
        <w:rPr>
          <w:rFonts w:ascii="Courier New" w:hAnsi="Courier New"/>
          <w:sz w:val="19"/>
        </w:rPr>
        <w:t xml:space="preserve">    banksia/       — room-15.html through room-24.html</w:t>
      </w:r>
    </w:p>
    <w:p>
      <w:pPr>
        <w:spacing w:after="40"/>
        <w:ind w:left="283"/>
      </w:pPr>
      <w:r>
        <w:rPr>
          <w:rFonts w:ascii="Courier New" w:hAnsi="Courier New"/>
          <w:sz w:val="19"/>
        </w:rPr>
        <w:t xml:space="preserve">    grevillea/     — room-1.html through room-14.html</w:t>
      </w:r>
    </w:p>
    <w:p>
      <w:pPr>
        <w:spacing w:after="40"/>
        <w:ind w:left="283"/>
      </w:pPr>
      <w:r>
        <w:rPr>
          <w:rFonts w:ascii="Courier New" w:hAnsi="Courier New"/>
          <w:sz w:val="19"/>
        </w:rPr>
        <w:t xml:space="preserve">    jacaranda/     — room-1.html through room-12.html</w:t>
      </w:r>
    </w:p>
    <w:p>
      <w:pPr>
        <w:spacing w:after="40"/>
        <w:ind w:left="283"/>
      </w:pPr>
      <w:r>
        <w:rPr>
          <w:rFonts w:ascii="Courier New" w:hAnsi="Courier New"/>
          <w:sz w:val="19"/>
        </w:rPr>
        <w:t xml:space="preserve">    melaleuca/     — room-1.html through room-12.html</w:t>
      </w:r>
    </w:p>
    <w:p/>
    <w:p>
      <w:pPr>
        <w:pStyle w:val="Heading2"/>
      </w:pPr>
      <w:r>
        <w:t>3.3 Profile URL Structure</w:t>
      </w:r>
    </w:p>
    <w:p>
      <w:pPr>
        <w:jc w:val="left"/>
      </w:pPr>
      <w:r>
        <w:rPr>
          <w:b w:val="0"/>
        </w:rPr>
        <w:t>NFC tags are programmed with URLs following this consistent pattern:</w:t>
      </w:r>
    </w:p>
    <w:p>
      <w:pPr>
        <w:ind w:left="283"/>
      </w:pPr>
      <w:r>
        <w:rPr>
          <w:rFonts w:ascii="Courier New" w:hAnsi="Courier New"/>
          <w:color w:val="2E6B8A"/>
          <w:sz w:val="20"/>
        </w:rPr>
        <w:t>https://lincolnhuggard20.github.io/talleyhaven-profiles/residents/{ward}/room-{n}.html</w:t>
      </w:r>
    </w:p>
    <w:p/>
    <w:p>
      <w:pPr>
        <w:jc w:val="left"/>
      </w:pPr>
      <w:r>
        <w:rPr>
          <w:b w:val="0"/>
        </w:rPr>
        <w:t>NFC tags do not need to be reprogrammed when profile content is updated. The URL remains constant — only the file content at that URL changes. Tags only require reprogramming if a resident moves rooms or wards.</w:t>
      </w:r>
    </w:p>
    <w:p>
      <w:pPr>
        <w:pStyle w:val="Heading1"/>
      </w:pPr>
      <w:r>
        <w:t>4. Tools Built</w:t>
      </w:r>
    </w:p>
    <w:p>
      <w:pPr>
        <w:pStyle w:val="Heading2"/>
      </w:pPr>
      <w:r>
        <w:t>Profile Editor</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File:  </w:t>
            </w:r>
            <w:r>
              <w:rPr>
                <w:rFonts w:ascii="Arial" w:hAnsi="Arial"/>
                <w:sz w:val="20"/>
              </w:rPr>
              <w:t>profile-editor.html</w:t>
            </w:r>
          </w:p>
        </w:tc>
      </w:tr>
    </w:tbl>
    <w:p/>
    <w:p>
      <w:pPr>
        <w:jc w:val="left"/>
      </w:pPr>
      <w:r>
        <w:rPr>
          <w:b w:val="0"/>
        </w:rPr>
        <w:t>A standalone browser-based tool for creating, editing, and publishing resident profiles. Includes care plan text import, GitHub load/publish integration, NFR/restrictive practice toggles, risk flags, and care aids sections. Self-contained — no installation required.</w:t>
      </w:r>
    </w:p>
    <w:p>
      <w:pPr>
        <w:pStyle w:val="Heading2"/>
      </w:pPr>
      <w:r>
        <w:t>Resident Profile Page</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File:  </w:t>
            </w:r>
            <w:r>
              <w:rPr>
                <w:rFonts w:ascii="Arial" w:hAnsi="Arial"/>
                <w:sz w:val="20"/>
              </w:rPr>
              <w:t>room-{n}.html (per resident)</w:t>
            </w:r>
          </w:p>
        </w:tc>
      </w:tr>
    </w:tbl>
    <w:p/>
    <w:p>
      <w:pPr>
        <w:jc w:val="left"/>
      </w:pPr>
      <w:r>
        <w:rPr>
          <w:b w:val="0"/>
        </w:rPr>
        <w:t>Generated HTML file for each resident. Mobile-optimised, PIN-protected, with embedded JSON data block for future-proof editing. Hosted on GitHub Pages.</w:t>
      </w:r>
    </w:p>
    <w:p>
      <w:pPr>
        <w:pStyle w:val="Heading2"/>
      </w:pPr>
      <w:r>
        <w:t>Care Plan Import</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File:  </w:t>
            </w:r>
            <w:r>
              <w:rPr>
                <w:rFonts w:ascii="Arial" w:hAnsi="Arial"/>
                <w:sz w:val="20"/>
              </w:rPr>
              <w:t>Feature within profile-editor.html</w:t>
            </w:r>
          </w:p>
        </w:tc>
      </w:tr>
    </w:tbl>
    <w:p/>
    <w:p>
      <w:pPr>
        <w:jc w:val="left"/>
      </w:pPr>
      <w:r>
        <w:rPr>
          <w:b w:val="0"/>
        </w:rPr>
        <w:t>Modal text input that accepts pasted care plan text and uses pattern matching to pre-populate profile fields. Reduces data entry time for new profiles.</w:t>
      </w:r>
    </w:p>
    <w:p>
      <w:pPr>
        <w:pStyle w:val="Heading2"/>
      </w:pPr>
      <w:r>
        <w:t>GitHub Publish</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File:  </w:t>
            </w:r>
            <w:r>
              <w:rPr>
                <w:rFonts w:ascii="Arial" w:hAnsi="Arial"/>
                <w:sz w:val="20"/>
              </w:rPr>
              <w:t>Feature within profile-editor.html</w:t>
            </w:r>
          </w:p>
        </w:tc>
      </w:tr>
    </w:tbl>
    <w:p/>
    <w:p>
      <w:pPr>
        <w:jc w:val="left"/>
      </w:pPr>
      <w:r>
        <w:rPr>
          <w:b w:val="0"/>
        </w:rPr>
        <w:t>One-click publishing of generated profiles directly to the GitHub repository via the GitHub REST API. No manual file upload required.</w:t>
      </w:r>
    </w:p>
    <w:p>
      <w:pPr>
        <w:pStyle w:val="Heading2"/>
      </w:pPr>
      <w:r>
        <w:t>GitHub Load</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File:  </w:t>
            </w:r>
            <w:r>
              <w:rPr>
                <w:rFonts w:ascii="Arial" w:hAnsi="Arial"/>
                <w:sz w:val="20"/>
              </w:rPr>
              <w:t>Feature within profile-editor.html</w:t>
            </w:r>
          </w:p>
        </w:tc>
      </w:tr>
    </w:tbl>
    <w:p/>
    <w:p>
      <w:pPr>
        <w:jc w:val="left"/>
      </w:pPr>
      <w:r>
        <w:rPr>
          <w:b w:val="0"/>
        </w:rPr>
        <w:t>Fetches existing profiles from GitHub by ward and room number selection, parses the embedded JSON data block, and populates all editor fields for editing.</w:t>
      </w:r>
    </w:p>
    <w:p>
      <w:pPr>
        <w:pStyle w:val="Heading1"/>
      </w:pPr>
      <w:r>
        <w:t>5. Profile Content Structure</w:t>
      </w:r>
    </w:p>
    <w:p>
      <w:pPr>
        <w:jc w:val="left"/>
      </w:pPr>
      <w:r>
        <w:rPr>
          <w:b w:val="0"/>
        </w:rPr>
        <w:t>Each resident profile contains the following structured sections. This structure was designed by Lincoln Huggard RN based on clinical experience and the requirements of the Aged Care Quality Standards.</w:t>
      </w:r>
    </w:p>
    <w:p>
      <w:pPr>
        <w:pStyle w:val="Heading2"/>
      </w:pPr>
      <w:r>
        <w:t>Alert Banner</w:t>
      </w:r>
    </w:p>
    <w:p>
      <w:pPr>
        <w:pStyle w:val="ListBullet"/>
        <w:spacing w:after="60"/>
        <w:ind w:left="283"/>
      </w:pPr>
      <w:r>
        <w:rPr>
          <w:rFonts w:ascii="Arial" w:hAnsi="Arial"/>
          <w:sz w:val="21"/>
        </w:rPr>
        <w:t>Configurable alert level: None, Amber Warning, Red Alert</w:t>
      </w:r>
    </w:p>
    <w:p>
      <w:pPr>
        <w:pStyle w:val="ListBullet"/>
        <w:spacing w:after="60"/>
        <w:ind w:left="283"/>
      </w:pPr>
      <w:r>
        <w:rPr>
          <w:rFonts w:ascii="Arial" w:hAnsi="Arial"/>
          <w:sz w:val="21"/>
        </w:rPr>
        <w:t>Free-text alert message (e.g. HIGH FALLS RISK — sensor mat in use)</w:t>
      </w:r>
    </w:p>
    <w:p>
      <w:pPr>
        <w:pStyle w:val="ListBullet"/>
        <w:spacing w:after="60"/>
        <w:ind w:left="283"/>
      </w:pPr>
      <w:r>
        <w:rPr>
          <w:rFonts w:ascii="Arial" w:hAnsi="Arial"/>
          <w:sz w:val="21"/>
        </w:rPr>
        <w:t>NFR / Resuscitation Status: For Resuscitation (green bar) or Not for Resuscitation (red bar)</w:t>
      </w:r>
    </w:p>
    <w:p>
      <w:pPr>
        <w:pStyle w:val="ListBullet"/>
        <w:spacing w:after="60"/>
        <w:ind w:left="283"/>
      </w:pPr>
      <w:r>
        <w:rPr>
          <w:rFonts w:ascii="Arial" w:hAnsi="Arial"/>
          <w:sz w:val="21"/>
        </w:rPr>
        <w:t>Restrictive Practice indicators: Chemical, Environmental, and/or Mechanical</w:t>
      </w:r>
    </w:p>
    <w:p>
      <w:pPr>
        <w:pStyle w:val="Heading2"/>
      </w:pPr>
      <w:r>
        <w:t>Quick Risk Flags</w:t>
      </w:r>
    </w:p>
    <w:p>
      <w:pPr>
        <w:pStyle w:val="ListBullet"/>
        <w:spacing w:after="60"/>
        <w:ind w:left="283"/>
      </w:pPr>
      <w:r>
        <w:rPr>
          <w:rFonts w:ascii="Arial" w:hAnsi="Arial"/>
          <w:sz w:val="21"/>
        </w:rPr>
        <w:t>Falls Risk — HIGH</w:t>
      </w:r>
    </w:p>
    <w:p>
      <w:pPr>
        <w:pStyle w:val="ListBullet"/>
        <w:spacing w:after="60"/>
        <w:ind w:left="283"/>
      </w:pPr>
      <w:r>
        <w:rPr>
          <w:rFonts w:ascii="Arial" w:hAnsi="Arial"/>
          <w:sz w:val="21"/>
        </w:rPr>
        <w:t>Waterlow Score — HIGH</w:t>
      </w:r>
    </w:p>
    <w:p>
      <w:pPr>
        <w:pStyle w:val="ListBullet"/>
        <w:spacing w:after="60"/>
        <w:ind w:left="283"/>
      </w:pPr>
      <w:r>
        <w:rPr>
          <w:rFonts w:ascii="Arial" w:hAnsi="Arial"/>
          <w:sz w:val="21"/>
        </w:rPr>
        <w:t>Allergy Alert</w:t>
      </w:r>
    </w:p>
    <w:p>
      <w:pPr>
        <w:pStyle w:val="ListBullet"/>
        <w:spacing w:after="60"/>
        <w:ind w:left="283"/>
      </w:pPr>
      <w:r>
        <w:rPr>
          <w:rFonts w:ascii="Arial" w:hAnsi="Arial"/>
          <w:sz w:val="21"/>
        </w:rPr>
        <w:t>Pressure Injury</w:t>
      </w:r>
    </w:p>
    <w:p>
      <w:pPr>
        <w:pStyle w:val="ListBullet"/>
        <w:spacing w:after="60"/>
        <w:ind w:left="283"/>
      </w:pPr>
      <w:r>
        <w:rPr>
          <w:rFonts w:ascii="Arial" w:hAnsi="Arial"/>
          <w:sz w:val="21"/>
        </w:rPr>
        <w:t>Dementia</w:t>
      </w:r>
    </w:p>
    <w:p>
      <w:pPr>
        <w:pStyle w:val="ListBullet"/>
        <w:spacing w:after="60"/>
        <w:ind w:left="283"/>
      </w:pPr>
      <w:r>
        <w:rPr>
          <w:rFonts w:ascii="Arial" w:hAnsi="Arial"/>
          <w:sz w:val="21"/>
        </w:rPr>
        <w:t>Wheelchair</w:t>
      </w:r>
    </w:p>
    <w:p>
      <w:pPr>
        <w:pStyle w:val="ListBullet"/>
        <w:spacing w:after="60"/>
        <w:ind w:left="283"/>
      </w:pPr>
      <w:r>
        <w:rPr>
          <w:rFonts w:ascii="Arial" w:hAnsi="Arial"/>
          <w:sz w:val="21"/>
        </w:rPr>
        <w:t>Diabetes</w:t>
      </w:r>
    </w:p>
    <w:p>
      <w:pPr>
        <w:pStyle w:val="ListBullet"/>
        <w:spacing w:after="60"/>
        <w:ind w:left="283"/>
      </w:pPr>
      <w:r>
        <w:rPr>
          <w:rFonts w:ascii="Arial" w:hAnsi="Arial"/>
          <w:sz w:val="21"/>
        </w:rPr>
        <w:t>Sundowning</w:t>
      </w:r>
    </w:p>
    <w:p>
      <w:pPr>
        <w:pStyle w:val="ListBullet"/>
        <w:spacing w:after="60"/>
        <w:ind w:left="283"/>
      </w:pPr>
      <w:r>
        <w:rPr>
          <w:rFonts w:ascii="Arial" w:hAnsi="Arial"/>
          <w:sz w:val="21"/>
        </w:rPr>
        <w:t>Chemical / Environmental / Mechanical Restraint</w:t>
      </w:r>
    </w:p>
    <w:p>
      <w:pPr>
        <w:pStyle w:val="Heading2"/>
      </w:pPr>
      <w:r>
        <w:t>Identity &amp; Communication</w:t>
      </w:r>
    </w:p>
    <w:p>
      <w:pPr>
        <w:pStyle w:val="ListBullet"/>
        <w:spacing w:after="60"/>
        <w:ind w:left="283"/>
      </w:pPr>
      <w:r>
        <w:rPr>
          <w:rFonts w:ascii="Arial" w:hAnsi="Arial"/>
          <w:sz w:val="21"/>
        </w:rPr>
        <w:t>Full name and preferred name/nickname</w:t>
      </w:r>
    </w:p>
    <w:p>
      <w:pPr>
        <w:pStyle w:val="ListBullet"/>
        <w:spacing w:after="60"/>
        <w:ind w:left="283"/>
      </w:pPr>
      <w:r>
        <w:rPr>
          <w:rFonts w:ascii="Arial" w:hAnsi="Arial"/>
          <w:sz w:val="21"/>
        </w:rPr>
        <w:t>Name note (how to address the resident)</w:t>
      </w:r>
    </w:p>
    <w:p>
      <w:pPr>
        <w:pStyle w:val="ListBullet"/>
        <w:spacing w:after="60"/>
        <w:ind w:left="283"/>
      </w:pPr>
      <w:r>
        <w:rPr>
          <w:rFonts w:ascii="Arial" w:hAnsi="Arial"/>
          <w:sz w:val="21"/>
        </w:rPr>
        <w:t>Primary language and interpreter needs</w:t>
      </w:r>
    </w:p>
    <w:p>
      <w:pPr>
        <w:pStyle w:val="ListBullet"/>
        <w:spacing w:after="60"/>
        <w:ind w:left="283"/>
      </w:pPr>
      <w:r>
        <w:rPr>
          <w:rFonts w:ascii="Arial" w:hAnsi="Arial"/>
          <w:sz w:val="21"/>
        </w:rPr>
        <w:t>Hearing aids and hearing notes</w:t>
      </w:r>
    </w:p>
    <w:p>
      <w:pPr>
        <w:pStyle w:val="ListBullet"/>
        <w:spacing w:after="60"/>
        <w:ind w:left="283"/>
      </w:pPr>
      <w:r>
        <w:rPr>
          <w:rFonts w:ascii="Arial" w:hAnsi="Arial"/>
          <w:sz w:val="21"/>
        </w:rPr>
        <w:t>Vision aids and vision notes</w:t>
      </w:r>
    </w:p>
    <w:p>
      <w:pPr>
        <w:pStyle w:val="ListBullet"/>
        <w:spacing w:after="60"/>
        <w:ind w:left="283"/>
      </w:pPr>
      <w:r>
        <w:rPr>
          <w:rFonts w:ascii="Arial" w:hAnsi="Arial"/>
          <w:sz w:val="21"/>
        </w:rPr>
        <w:t>Cognition and orientation level</w:t>
      </w:r>
    </w:p>
    <w:p>
      <w:pPr>
        <w:pStyle w:val="ListBullet"/>
        <w:spacing w:after="60"/>
        <w:ind w:left="283"/>
      </w:pPr>
      <w:r>
        <w:rPr>
          <w:rFonts w:ascii="Arial" w:hAnsi="Arial"/>
          <w:sz w:val="21"/>
        </w:rPr>
        <w:t>Communication tips (highlight box)</w:t>
      </w:r>
    </w:p>
    <w:p>
      <w:pPr>
        <w:pStyle w:val="Heading2"/>
      </w:pPr>
      <w:r>
        <w:t>Routine &amp; Care Preferences</w:t>
      </w:r>
    </w:p>
    <w:p>
      <w:pPr>
        <w:pStyle w:val="ListBullet"/>
        <w:spacing w:after="60"/>
        <w:ind w:left="283"/>
      </w:pPr>
      <w:r>
        <w:rPr>
          <w:rFonts w:ascii="Arial" w:hAnsi="Arial"/>
          <w:sz w:val="21"/>
        </w:rPr>
        <w:t>Wake time preference</w:t>
      </w:r>
    </w:p>
    <w:p>
      <w:pPr>
        <w:pStyle w:val="ListBullet"/>
        <w:spacing w:after="60"/>
        <w:ind w:left="283"/>
      </w:pPr>
      <w:r>
        <w:rPr>
          <w:rFonts w:ascii="Arial" w:hAnsi="Arial"/>
          <w:sz w:val="21"/>
        </w:rPr>
        <w:t>Morning routine preferences</w:t>
      </w:r>
    </w:p>
    <w:p>
      <w:pPr>
        <w:pStyle w:val="ListBullet"/>
        <w:spacing w:after="60"/>
        <w:ind w:left="283"/>
      </w:pPr>
      <w:r>
        <w:rPr>
          <w:rFonts w:ascii="Arial" w:hAnsi="Arial"/>
          <w:sz w:val="21"/>
        </w:rPr>
        <w:t>Personal care notes (carer preference, privacy needs)</w:t>
      </w:r>
    </w:p>
    <w:p>
      <w:pPr>
        <w:pStyle w:val="ListBullet"/>
        <w:spacing w:after="60"/>
        <w:ind w:left="283"/>
      </w:pPr>
      <w:r>
        <w:rPr>
          <w:rFonts w:ascii="Arial" w:hAnsi="Arial"/>
          <w:sz w:val="21"/>
        </w:rPr>
        <w:t>Food and fluid preferences (including IDDSI level)</w:t>
      </w:r>
    </w:p>
    <w:p>
      <w:pPr>
        <w:pStyle w:val="ListBullet"/>
        <w:spacing w:after="60"/>
        <w:ind w:left="283"/>
      </w:pPr>
      <w:r>
        <w:rPr>
          <w:rFonts w:ascii="Arial" w:hAnsi="Arial"/>
          <w:sz w:val="21"/>
        </w:rPr>
        <w:t>Rest and nap preferences</w:t>
      </w:r>
    </w:p>
    <w:p>
      <w:pPr>
        <w:pStyle w:val="ListBullet"/>
        <w:spacing w:after="60"/>
        <w:ind w:left="283"/>
      </w:pPr>
      <w:r>
        <w:rPr>
          <w:rFonts w:ascii="Arial" w:hAnsi="Arial"/>
          <w:sz w:val="21"/>
        </w:rPr>
        <w:t>Evening routine preferences</w:t>
      </w:r>
    </w:p>
    <w:p>
      <w:pPr>
        <w:pStyle w:val="Heading2"/>
      </w:pPr>
      <w:r>
        <w:t>Behavioural &amp; Emotional</w:t>
      </w:r>
    </w:p>
    <w:p>
      <w:pPr>
        <w:pStyle w:val="ListBullet"/>
        <w:spacing w:after="60"/>
        <w:ind w:left="283"/>
      </w:pPr>
      <w:r>
        <w:rPr>
          <w:rFonts w:ascii="Arial" w:hAnsi="Arial"/>
          <w:sz w:val="21"/>
        </w:rPr>
        <w:t>Known triggers</w:t>
      </w:r>
    </w:p>
    <w:p>
      <w:pPr>
        <w:pStyle w:val="ListBullet"/>
        <w:spacing w:after="60"/>
        <w:ind w:left="283"/>
      </w:pPr>
      <w:r>
        <w:rPr>
          <w:rFonts w:ascii="Arial" w:hAnsi="Arial"/>
          <w:sz w:val="21"/>
        </w:rPr>
        <w:t>De-escalation approaches</w:t>
      </w:r>
    </w:p>
    <w:p>
      <w:pPr>
        <w:pStyle w:val="ListBullet"/>
        <w:spacing w:after="60"/>
        <w:ind w:left="283"/>
      </w:pPr>
      <w:r>
        <w:rPr>
          <w:rFonts w:ascii="Arial" w:hAnsi="Arial"/>
          <w:sz w:val="21"/>
        </w:rPr>
        <w:t>Emotional baseline and personal interests</w:t>
      </w:r>
    </w:p>
    <w:p>
      <w:pPr>
        <w:pStyle w:val="ListBullet"/>
        <w:spacing w:after="60"/>
        <w:ind w:left="283"/>
      </w:pPr>
      <w:r>
        <w:rPr>
          <w:rFonts w:ascii="Arial" w:hAnsi="Arial"/>
          <w:sz w:val="21"/>
        </w:rPr>
        <w:t>Distress response note (auto-generated highlight box)</w:t>
      </w:r>
    </w:p>
    <w:p>
      <w:pPr>
        <w:pStyle w:val="Heading2"/>
      </w:pPr>
      <w:r>
        <w:t>Clinical Flags</w:t>
      </w:r>
    </w:p>
    <w:p>
      <w:pPr>
        <w:pStyle w:val="ListBullet"/>
        <w:spacing w:after="60"/>
        <w:ind w:left="283"/>
      </w:pPr>
      <w:r>
        <w:rPr>
          <w:rFonts w:ascii="Arial" w:hAnsi="Arial"/>
          <w:sz w:val="21"/>
        </w:rPr>
        <w:t>Falls risk detail</w:t>
      </w:r>
    </w:p>
    <w:p>
      <w:pPr>
        <w:pStyle w:val="ListBullet"/>
        <w:spacing w:after="60"/>
        <w:ind w:left="283"/>
      </w:pPr>
      <w:r>
        <w:rPr>
          <w:rFonts w:ascii="Arial" w:hAnsi="Arial"/>
          <w:sz w:val="21"/>
        </w:rPr>
        <w:t>Waterlow score and skin integrity notes</w:t>
      </w:r>
    </w:p>
    <w:p>
      <w:pPr>
        <w:pStyle w:val="ListBullet"/>
        <w:spacing w:after="60"/>
        <w:ind w:left="283"/>
      </w:pPr>
      <w:r>
        <w:rPr>
          <w:rFonts w:ascii="Arial" w:hAnsi="Arial"/>
          <w:sz w:val="21"/>
        </w:rPr>
        <w:t>Swallowing precautions and IDDSI level</w:t>
      </w:r>
    </w:p>
    <w:p>
      <w:pPr>
        <w:pStyle w:val="ListBullet"/>
        <w:spacing w:after="60"/>
        <w:ind w:left="283"/>
      </w:pPr>
      <w:r>
        <w:rPr>
          <w:rFonts w:ascii="Arial" w:hAnsi="Arial"/>
          <w:sz w:val="21"/>
        </w:rPr>
        <w:t>Allergies (drug and food)</w:t>
      </w:r>
    </w:p>
    <w:p>
      <w:pPr>
        <w:pStyle w:val="ListBullet"/>
        <w:spacing w:after="60"/>
        <w:ind w:left="283"/>
      </w:pPr>
      <w:r>
        <w:rPr>
          <w:rFonts w:ascii="Arial" w:hAnsi="Arial"/>
          <w:sz w:val="21"/>
        </w:rPr>
        <w:t>Mobility requirements</w:t>
      </w:r>
    </w:p>
    <w:p>
      <w:pPr>
        <w:pStyle w:val="ListBullet"/>
        <w:spacing w:after="60"/>
        <w:ind w:left="283"/>
      </w:pPr>
      <w:r>
        <w:rPr>
          <w:rFonts w:ascii="Arial" w:hAnsi="Arial"/>
          <w:sz w:val="21"/>
        </w:rPr>
        <w:t>Reference to full care management system</w:t>
      </w:r>
    </w:p>
    <w:p>
      <w:pPr>
        <w:pStyle w:val="Heading2"/>
      </w:pPr>
      <w:r>
        <w:t>Care Aids &amp; Equipment</w:t>
      </w:r>
    </w:p>
    <w:p>
      <w:pPr>
        <w:pStyle w:val="ListBullet"/>
        <w:spacing w:after="60"/>
        <w:ind w:left="283"/>
      </w:pPr>
      <w:r>
        <w:rPr>
          <w:rFonts w:ascii="Arial" w:hAnsi="Arial"/>
          <w:sz w:val="21"/>
        </w:rPr>
        <w:t>Hearing aids</w:t>
      </w:r>
    </w:p>
    <w:p>
      <w:pPr>
        <w:pStyle w:val="ListBullet"/>
        <w:spacing w:after="60"/>
        <w:ind w:left="283"/>
      </w:pPr>
      <w:r>
        <w:rPr>
          <w:rFonts w:ascii="Arial" w:hAnsi="Arial"/>
          <w:sz w:val="21"/>
        </w:rPr>
        <w:t>Glasses/vision aids</w:t>
      </w:r>
    </w:p>
    <w:p>
      <w:pPr>
        <w:pStyle w:val="ListBullet"/>
        <w:spacing w:after="60"/>
        <w:ind w:left="283"/>
      </w:pPr>
      <w:r>
        <w:rPr>
          <w:rFonts w:ascii="Arial" w:hAnsi="Arial"/>
          <w:sz w:val="21"/>
        </w:rPr>
        <w:t>Dentures (full or partial)</w:t>
      </w:r>
    </w:p>
    <w:p>
      <w:pPr>
        <w:pStyle w:val="ListBullet"/>
        <w:spacing w:after="60"/>
        <w:ind w:left="283"/>
      </w:pPr>
      <w:r>
        <w:rPr>
          <w:rFonts w:ascii="Arial" w:hAnsi="Arial"/>
          <w:sz w:val="21"/>
        </w:rPr>
        <w:t>CPAP</w:t>
      </w:r>
    </w:p>
    <w:p>
      <w:pPr>
        <w:pStyle w:val="ListBullet"/>
        <w:spacing w:after="60"/>
        <w:ind w:left="283"/>
      </w:pPr>
      <w:r>
        <w:rPr>
          <w:rFonts w:ascii="Arial" w:hAnsi="Arial"/>
          <w:sz w:val="21"/>
        </w:rPr>
        <w:t>Leg protectors</w:t>
      </w:r>
    </w:p>
    <w:p>
      <w:pPr>
        <w:pStyle w:val="ListBullet"/>
        <w:spacing w:after="60"/>
        <w:ind w:left="283"/>
      </w:pPr>
      <w:r>
        <w:rPr>
          <w:rFonts w:ascii="Arial" w:hAnsi="Arial"/>
          <w:sz w:val="21"/>
        </w:rPr>
        <w:t>Hip protectors</w:t>
      </w:r>
    </w:p>
    <w:p>
      <w:pPr>
        <w:pStyle w:val="ListBullet"/>
        <w:spacing w:after="60"/>
        <w:ind w:left="283"/>
      </w:pPr>
      <w:r>
        <w:rPr>
          <w:rFonts w:ascii="Arial" w:hAnsi="Arial"/>
          <w:sz w:val="21"/>
        </w:rPr>
        <w:t>Special creams/skin products</w:t>
      </w:r>
    </w:p>
    <w:p>
      <w:pPr>
        <w:pStyle w:val="ListBullet"/>
        <w:spacing w:after="60"/>
        <w:ind w:left="283"/>
      </w:pPr>
      <w:r>
        <w:rPr>
          <w:rFonts w:ascii="Arial" w:hAnsi="Arial"/>
          <w:sz w:val="21"/>
        </w:rPr>
        <w:t>Makeup/personal grooming preferences</w:t>
      </w:r>
    </w:p>
    <w:p>
      <w:pPr>
        <w:pStyle w:val="Heading1"/>
      </w:pPr>
      <w:r>
        <w:t>6. Privacy &amp; Legal Considerations</w:t>
      </w:r>
    </w:p>
    <w:p>
      <w:pPr>
        <w:pStyle w:val="Heading2"/>
      </w:pPr>
      <w:r>
        <w:t>6.1 Applicable Framework</w:t>
      </w:r>
    </w:p>
    <w:p>
      <w:pPr>
        <w:jc w:val="left"/>
      </w:pPr>
      <w:r>
        <w:rPr>
          <w:b w:val="0"/>
        </w:rPr>
        <w:t>The system operates under the Privacy Act 1988 (Cth) and the Australian Privacy Principles (APPs). The most relevant principles are APP 11 (security of personal information) and APP 6 (use and disclosure limited to purpose of collection).</w:t>
      </w:r>
    </w:p>
    <w:p>
      <w:pPr>
        <w:pStyle w:val="Heading2"/>
      </w:pPr>
      <w:r>
        <w:t>6.2 Design Decisions Made for Privacy</w:t>
      </w:r>
    </w:p>
    <w:p>
      <w:pPr>
        <w:pStyle w:val="ListBullet"/>
        <w:spacing w:after="60"/>
        <w:ind w:left="283"/>
      </w:pPr>
      <w:r>
        <w:rPr>
          <w:rFonts w:ascii="Arial" w:hAnsi="Arial"/>
          <w:sz w:val="21"/>
        </w:rPr>
        <w:t>No resident photographs stored in the system</w:t>
      </w:r>
    </w:p>
    <w:p>
      <w:pPr>
        <w:pStyle w:val="ListBullet"/>
        <w:spacing w:after="60"/>
        <w:ind w:left="283"/>
      </w:pPr>
      <w:r>
        <w:rPr>
          <w:rFonts w:ascii="Arial" w:hAnsi="Arial"/>
          <w:sz w:val="21"/>
        </w:rPr>
        <w:t>No full clinical diagnoses, medication charts, or detailed clinical documentation included</w:t>
      </w:r>
    </w:p>
    <w:p>
      <w:pPr>
        <w:pStyle w:val="ListBullet"/>
        <w:spacing w:after="60"/>
        <w:ind w:left="283"/>
      </w:pPr>
      <w:r>
        <w:rPr>
          <w:rFonts w:ascii="Arial" w:hAnsi="Arial"/>
          <w:sz w:val="21"/>
        </w:rPr>
        <w:t>Profile content limited to preference, communication, and high-level clinical flag information</w:t>
      </w:r>
    </w:p>
    <w:p>
      <w:pPr>
        <w:pStyle w:val="ListBullet"/>
        <w:spacing w:after="60"/>
        <w:ind w:left="283"/>
      </w:pPr>
      <w:r>
        <w:rPr>
          <w:rFonts w:ascii="Arial" w:hAnsi="Arial"/>
          <w:sz w:val="21"/>
        </w:rPr>
        <w:t>PIN-based access control on every profile page</w:t>
      </w:r>
    </w:p>
    <w:p>
      <w:pPr>
        <w:pStyle w:val="ListBullet"/>
        <w:spacing w:after="60"/>
        <w:ind w:left="283"/>
      </w:pPr>
      <w:r>
        <w:rPr>
          <w:rFonts w:ascii="Arial" w:hAnsi="Arial"/>
          <w:sz w:val="21"/>
        </w:rPr>
        <w:t>Session-based authentication — requires re-entry when browser is closed</w:t>
      </w:r>
    </w:p>
    <w:p>
      <w:pPr>
        <w:pStyle w:val="ListBullet"/>
        <w:spacing w:after="60"/>
        <w:ind w:left="283"/>
      </w:pPr>
      <w:r>
        <w:rPr>
          <w:rFonts w:ascii="Arial" w:hAnsi="Arial"/>
          <w:sz w:val="21"/>
        </w:rPr>
        <w:t>JSON data block is non-executable and invisible to end users</w:t>
      </w:r>
    </w:p>
    <w:p>
      <w:pPr>
        <w:pStyle w:val="ListBullet"/>
        <w:spacing w:after="60"/>
        <w:ind w:left="283"/>
      </w:pPr>
      <w:r>
        <w:rPr>
          <w:rFonts w:ascii="Arial" w:hAnsi="Arial"/>
          <w:sz w:val="21"/>
        </w:rPr>
        <w:t>System explicitly documented as a communication aid, not a clinical record</w:t>
      </w:r>
    </w:p>
    <w:p>
      <w:pPr>
        <w:pStyle w:val="Heading2"/>
      </w:pPr>
      <w:r>
        <w:t>6.3 Current Limitations &amp; Planned Improvements</w:t>
      </w:r>
    </w:p>
    <w:p>
      <w:pPr>
        <w:jc w:val="left"/>
      </w:pPr>
      <w:r>
        <w:rPr>
          <w:b w:val="0"/>
        </w:rPr>
        <w:t>The current prototype uses public GitHub Pages hosting. While profile URLs are not indexed or searchable, they are technically accessible to anyone who obtains the URL. This is identified as the primary security limitation requiring IT team resolution before full facility-wide deployment. Planned improvements include:</w:t>
      </w:r>
    </w:p>
    <w:p>
      <w:pPr>
        <w:pStyle w:val="ListBullet"/>
        <w:spacing w:after="60"/>
        <w:ind w:left="283"/>
      </w:pPr>
      <w:r>
        <w:rPr>
          <w:rFonts w:ascii="Arial" w:hAnsi="Arial"/>
          <w:sz w:val="21"/>
        </w:rPr>
        <w:t>Migration to internal Bluecare network hosting (requires IT team)</w:t>
      </w:r>
    </w:p>
    <w:p>
      <w:pPr>
        <w:pStyle w:val="ListBullet"/>
        <w:spacing w:after="60"/>
        <w:ind w:left="283"/>
      </w:pPr>
      <w:r>
        <w:rPr>
          <w:rFonts w:ascii="Arial" w:hAnsi="Arial"/>
          <w:sz w:val="21"/>
        </w:rPr>
        <w:t>Integration with Bluecare/Microsoft 365 staff authentication</w:t>
      </w:r>
    </w:p>
    <w:p>
      <w:pPr>
        <w:pStyle w:val="ListBullet"/>
        <w:spacing w:after="60"/>
        <w:ind w:left="283"/>
      </w:pPr>
      <w:r>
        <w:rPr>
          <w:rFonts w:ascii="Arial" w:hAnsi="Arial"/>
          <w:sz w:val="21"/>
        </w:rPr>
        <w:t>Audit logging of profile access</w:t>
      </w:r>
    </w:p>
    <w:p>
      <w:pPr>
        <w:pStyle w:val="ListBullet"/>
        <w:spacing w:after="60"/>
        <w:ind w:left="283"/>
      </w:pPr>
      <w:r>
        <w:rPr>
          <w:rFonts w:ascii="Arial" w:hAnsi="Arial"/>
          <w:sz w:val="21"/>
        </w:rPr>
        <w:t>Formal privacy impact assessment by Bluecare compliance team</w:t>
      </w:r>
    </w:p>
    <w:p>
      <w:pPr>
        <w:pStyle w:val="Heading1"/>
      </w:pPr>
      <w:r>
        <w:t>7. Alignment with Aged Care Quality Standards</w:t>
      </w:r>
    </w:p>
    <w:tbl>
      <w:tblPr>
        <w:tblStyle w:val="TableGrid"/>
        <w:tblW w:type="auto" w:w="0"/>
        <w:jc w:val="left"/>
        <w:tblLook w:firstColumn="1" w:firstRow="1" w:lastColumn="0" w:lastRow="0" w:noHBand="0" w:noVBand="1" w:val="04A0"/>
      </w:tblPr>
      <w:tblGrid>
        <w:gridCol w:w="6236"/>
        <w:gridCol w:w="2835"/>
      </w:tblGrid>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80" w:after="80"/>
              <w:ind w:left="113"/>
            </w:pPr>
            <w:r>
              <w:rPr>
                <w:rFonts w:ascii="Arial" w:hAnsi="Arial"/>
                <w:b/>
                <w:color w:val="2D5A27"/>
                <w:sz w:val="20"/>
              </w:rPr>
              <w:t>Standard 1 — Consumer Dignity and Choice</w:t>
              <w:br/>
            </w:r>
            <w:r>
              <w:rPr>
                <w:rFonts w:ascii="Arial" w:hAnsi="Arial"/>
                <w:color w:val="323232"/>
                <w:sz w:val="19"/>
              </w:rPr>
              <w:t>Profiles directly support residents being known and addressed as individuals. Preferred names, communication preferences, and personal routines are surfaced immediately at the point of care.</w:t>
            </w:r>
          </w:p>
        </w:tc>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160"/>
              <w:jc w:val="center"/>
            </w:pPr>
            <w:r>
              <w:rPr>
                <w:rFonts w:ascii="Arial" w:hAnsi="Arial"/>
                <w:b/>
                <w:color w:val="2D5A27"/>
                <w:sz w:val="18"/>
              </w:rPr>
              <w:t>Strongly Supports</w:t>
            </w:r>
          </w:p>
        </w:tc>
      </w:tr>
    </w:tbl>
    <w:p/>
    <w:tbl>
      <w:tblPr>
        <w:tblStyle w:val="TableGrid"/>
        <w:tblW w:type="auto" w:w="0"/>
        <w:jc w:val="left"/>
        <w:tblLook w:firstColumn="1" w:firstRow="1" w:lastColumn="0" w:lastRow="0" w:noHBand="0" w:noVBand="1" w:val="04A0"/>
      </w:tblPr>
      <w:tblGrid>
        <w:gridCol w:w="6236"/>
        <w:gridCol w:w="2835"/>
      </w:tblGrid>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80" w:after="80"/>
              <w:ind w:left="113"/>
            </w:pPr>
            <w:r>
              <w:rPr>
                <w:rFonts w:ascii="Arial" w:hAnsi="Arial"/>
                <w:b/>
                <w:color w:val="7A4F00"/>
                <w:sz w:val="20"/>
              </w:rPr>
              <w:t>Standard 2 — Ongoing Assessment and Planning</w:t>
              <w:br/>
            </w:r>
            <w:r>
              <w:rPr>
                <w:rFonts w:ascii="Arial" w:hAnsi="Arial"/>
                <w:color w:val="323232"/>
                <w:sz w:val="19"/>
              </w:rPr>
              <w:t>Profiles complement the care plan but must remain synchronised with it. A profile update protocol tied to the care plan review cycle is required.</w:t>
            </w:r>
          </w:p>
        </w:tc>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160"/>
              <w:jc w:val="center"/>
            </w:pPr>
            <w:r>
              <w:rPr>
                <w:rFonts w:ascii="Arial" w:hAnsi="Arial"/>
                <w:b/>
                <w:color w:val="7A4F00"/>
                <w:sz w:val="18"/>
              </w:rPr>
              <w:t>Conditional</w:t>
            </w:r>
          </w:p>
        </w:tc>
      </w:tr>
    </w:tbl>
    <w:p/>
    <w:tbl>
      <w:tblPr>
        <w:tblStyle w:val="TableGrid"/>
        <w:tblW w:type="auto" w:w="0"/>
        <w:jc w:val="left"/>
        <w:tblLook w:firstColumn="1" w:firstRow="1" w:lastColumn="0" w:lastRow="0" w:noHBand="0" w:noVBand="1" w:val="04A0"/>
      </w:tblPr>
      <w:tblGrid>
        <w:gridCol w:w="6236"/>
        <w:gridCol w:w="2835"/>
      </w:tblGrid>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80" w:after="80"/>
              <w:ind w:left="113"/>
            </w:pPr>
            <w:r>
              <w:rPr>
                <w:rFonts w:ascii="Arial" w:hAnsi="Arial"/>
                <w:b/>
                <w:color w:val="7A4F00"/>
                <w:sz w:val="20"/>
              </w:rPr>
              <w:t>Standard 3 — Personal Care and Clinical Care</w:t>
              <w:br/>
            </w:r>
            <w:r>
              <w:rPr>
                <w:rFonts w:ascii="Arial" w:hAnsi="Arial"/>
                <w:color w:val="323232"/>
                <w:sz w:val="19"/>
              </w:rPr>
              <w:t>Clinical flags support safe care delivery. Risk exists if profiles become outdated after clinical changes. The Last Updated timestamp and update workflow are key safeguards.</w:t>
            </w:r>
          </w:p>
        </w:tc>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160"/>
              <w:jc w:val="center"/>
            </w:pPr>
            <w:r>
              <w:rPr>
                <w:rFonts w:ascii="Arial" w:hAnsi="Arial"/>
                <w:b/>
                <w:color w:val="7A4F00"/>
                <w:sz w:val="18"/>
              </w:rPr>
              <w:t>Conditional</w:t>
            </w:r>
          </w:p>
        </w:tc>
      </w:tr>
    </w:tbl>
    <w:p/>
    <w:tbl>
      <w:tblPr>
        <w:tblStyle w:val="TableGrid"/>
        <w:tblW w:type="auto" w:w="0"/>
        <w:jc w:val="left"/>
        <w:tblLook w:firstColumn="1" w:firstRow="1" w:lastColumn="0" w:lastRow="0" w:noHBand="0" w:noVBand="1" w:val="04A0"/>
      </w:tblPr>
      <w:tblGrid>
        <w:gridCol w:w="6236"/>
        <w:gridCol w:w="2835"/>
      </w:tblGrid>
      <w:tr>
        <w:tc>
          <w:tcPr>
            <w:tcW w:type="dxa" w:w="4536"/>
            <w:shd w:val="clear" w:color="auto" w:fill="FDF0F0"/>
            <w:tcBorders>
              <w:top w:val="single" w:sz="4" w:space="0" w:color="D0D7DE"/>
              <w:left w:val="single" w:sz="4" w:space="0" w:color="D0D7DE"/>
              <w:bottom w:val="single" w:sz="4" w:space="0" w:color="D0D7DE"/>
              <w:right w:val="single" w:sz="4" w:space="0" w:color="D0D7DE"/>
            </w:tcBorders>
          </w:tcPr>
          <w:p>
            <w:pPr>
              <w:spacing w:before="80" w:after="80"/>
              <w:ind w:left="113"/>
            </w:pPr>
            <w:r>
              <w:rPr>
                <w:rFonts w:ascii="Arial" w:hAnsi="Arial"/>
                <w:b/>
                <w:color w:val="7A1F1F"/>
                <w:sz w:val="20"/>
              </w:rPr>
              <w:t>Standard 8 — Organisational Governance</w:t>
              <w:br/>
            </w:r>
            <w:r>
              <w:rPr>
                <w:rFonts w:ascii="Arial" w:hAnsi="Arial"/>
                <w:color w:val="323232"/>
                <w:sz w:val="19"/>
              </w:rPr>
              <w:t>Formal governance documentation required. System must be recorded in Bluecare's privacy framework and IT asset register before full deployment.</w:t>
            </w:r>
          </w:p>
        </w:tc>
        <w:tc>
          <w:tcPr>
            <w:tcW w:type="dxa" w:w="4536"/>
            <w:shd w:val="clear" w:color="auto" w:fill="FDF0F0"/>
            <w:tcBorders>
              <w:top w:val="single" w:sz="4" w:space="0" w:color="D0D7DE"/>
              <w:left w:val="single" w:sz="4" w:space="0" w:color="D0D7DE"/>
              <w:bottom w:val="single" w:sz="4" w:space="0" w:color="D0D7DE"/>
              <w:right w:val="single" w:sz="4" w:space="0" w:color="D0D7DE"/>
            </w:tcBorders>
          </w:tcPr>
          <w:p>
            <w:pPr>
              <w:spacing w:before="160"/>
              <w:jc w:val="center"/>
            </w:pPr>
            <w:r>
              <w:rPr>
                <w:rFonts w:ascii="Arial" w:hAnsi="Arial"/>
                <w:b/>
                <w:color w:val="7A1F1F"/>
                <w:sz w:val="18"/>
              </w:rPr>
              <w:t>Action Required</w:t>
            </w:r>
          </w:p>
        </w:tc>
      </w:tr>
    </w:tbl>
    <w:p/>
    <w:p>
      <w:pPr>
        <w:pStyle w:val="Heading1"/>
      </w:pPr>
      <w:r>
        <w:t>8. Future Development Roadmap</w:t>
      </w:r>
    </w:p>
    <w:p>
      <w:pPr>
        <w:pStyle w:val="Heading2"/>
      </w:pPr>
      <w:r>
        <w:t>Phase 1 — Pilot (Current)</w:t>
      </w:r>
    </w:p>
    <w:p>
      <w:pPr>
        <w:pStyle w:val="ListBullet"/>
        <w:spacing w:after="60"/>
        <w:ind w:left="283"/>
      </w:pPr>
      <w:r>
        <w:rPr>
          <w:rFonts w:ascii="Arial" w:hAnsi="Arial"/>
          <w:sz w:val="21"/>
        </w:rPr>
        <w:t>Single ward pilot — proposed Acacia Ward</w:t>
      </w:r>
    </w:p>
    <w:p>
      <w:pPr>
        <w:pStyle w:val="ListBullet"/>
        <w:spacing w:after="60"/>
        <w:ind w:left="283"/>
      </w:pPr>
      <w:r>
        <w:rPr>
          <w:rFonts w:ascii="Arial" w:hAnsi="Arial"/>
          <w:sz w:val="21"/>
        </w:rPr>
        <w:t>Management review and privacy impact assessment</w:t>
      </w:r>
    </w:p>
    <w:p>
      <w:pPr>
        <w:pStyle w:val="ListBullet"/>
        <w:spacing w:after="60"/>
        <w:ind w:left="283"/>
      </w:pPr>
      <w:r>
        <w:rPr>
          <w:rFonts w:ascii="Arial" w:hAnsi="Arial"/>
          <w:sz w:val="21"/>
        </w:rPr>
        <w:t>Staff feedback collection</w:t>
      </w:r>
    </w:p>
    <w:p>
      <w:pPr>
        <w:pStyle w:val="ListBullet"/>
        <w:spacing w:after="60"/>
        <w:ind w:left="283"/>
      </w:pPr>
      <w:r>
        <w:rPr>
          <w:rFonts w:ascii="Arial" w:hAnsi="Arial"/>
          <w:sz w:val="21"/>
        </w:rPr>
        <w:t>IT team briefing and hosting assessment</w:t>
      </w:r>
    </w:p>
    <w:p>
      <w:pPr>
        <w:pStyle w:val="ListBullet"/>
        <w:spacing w:after="60"/>
        <w:ind w:left="283"/>
      </w:pPr>
      <w:r>
        <w:rPr>
          <w:rFonts w:ascii="Arial" w:hAnsi="Arial"/>
          <w:sz w:val="21"/>
        </w:rPr>
        <w:t>Documentation of outcomes for broader proposal</w:t>
      </w:r>
    </w:p>
    <w:p>
      <w:pPr>
        <w:pStyle w:val="Heading2"/>
      </w:pPr>
      <w:r>
        <w:t>Phase 2 — Infrastructure</w:t>
      </w:r>
    </w:p>
    <w:p>
      <w:pPr>
        <w:pStyle w:val="ListBullet"/>
        <w:spacing w:after="60"/>
        <w:ind w:left="283"/>
      </w:pPr>
      <w:r>
        <w:rPr>
          <w:rFonts w:ascii="Arial" w:hAnsi="Arial"/>
          <w:sz w:val="21"/>
        </w:rPr>
        <w:t>IT team establishes internal hosting solution</w:t>
      </w:r>
    </w:p>
    <w:p>
      <w:pPr>
        <w:pStyle w:val="ListBullet"/>
        <w:spacing w:after="60"/>
        <w:ind w:left="283"/>
      </w:pPr>
      <w:r>
        <w:rPr>
          <w:rFonts w:ascii="Arial" w:hAnsi="Arial"/>
          <w:sz w:val="21"/>
        </w:rPr>
        <w:t>Migration from public GitHub Pages to Bluecare-managed hosting</w:t>
      </w:r>
    </w:p>
    <w:p>
      <w:pPr>
        <w:pStyle w:val="ListBullet"/>
        <w:spacing w:after="60"/>
        <w:ind w:left="283"/>
      </w:pPr>
      <w:r>
        <w:rPr>
          <w:rFonts w:ascii="Arial" w:hAnsi="Arial"/>
          <w:sz w:val="21"/>
        </w:rPr>
        <w:t>Microsoft 365 / Azure AD integration for staff authentication</w:t>
      </w:r>
    </w:p>
    <w:p>
      <w:pPr>
        <w:pStyle w:val="ListBullet"/>
        <w:spacing w:after="60"/>
        <w:ind w:left="283"/>
      </w:pPr>
      <w:r>
        <w:rPr>
          <w:rFonts w:ascii="Arial" w:hAnsi="Arial"/>
          <w:sz w:val="21"/>
        </w:rPr>
        <w:t>Formal inclusion in Bluecare privacy and IT governance frameworks</w:t>
      </w:r>
    </w:p>
    <w:p>
      <w:pPr>
        <w:pStyle w:val="ListBullet"/>
        <w:spacing w:after="60"/>
        <w:ind w:left="283"/>
      </w:pPr>
      <w:r>
        <w:rPr>
          <w:rFonts w:ascii="Arial" w:hAnsi="Arial"/>
          <w:sz w:val="21"/>
        </w:rPr>
        <w:t>Profile maintenance protocol established and documented</w:t>
      </w:r>
    </w:p>
    <w:p>
      <w:pPr>
        <w:pStyle w:val="Heading2"/>
      </w:pPr>
      <w:r>
        <w:t>Phase 3 — Full Deployment</w:t>
      </w:r>
    </w:p>
    <w:p>
      <w:pPr>
        <w:pStyle w:val="ListBullet"/>
        <w:spacing w:after="60"/>
        <w:ind w:left="283"/>
      </w:pPr>
      <w:r>
        <w:rPr>
          <w:rFonts w:ascii="Arial" w:hAnsi="Arial"/>
          <w:sz w:val="21"/>
        </w:rPr>
        <w:t>Rollout across all five wards — Acacia, Banksia, Grevillea, Jacaranda, Melaleuca</w:t>
      </w:r>
    </w:p>
    <w:p>
      <w:pPr>
        <w:pStyle w:val="ListBullet"/>
        <w:spacing w:after="60"/>
        <w:ind w:left="283"/>
      </w:pPr>
      <w:r>
        <w:rPr>
          <w:rFonts w:ascii="Arial" w:hAnsi="Arial"/>
          <w:sz w:val="21"/>
        </w:rPr>
        <w:t>NFC tag installation across all 60 resident rooms</w:t>
      </w:r>
    </w:p>
    <w:p>
      <w:pPr>
        <w:pStyle w:val="ListBullet"/>
        <w:spacing w:after="60"/>
        <w:ind w:left="283"/>
      </w:pPr>
      <w:r>
        <w:rPr>
          <w:rFonts w:ascii="Arial" w:hAnsi="Arial"/>
          <w:sz w:val="21"/>
        </w:rPr>
        <w:t>Senior staff training on profile editor and maintenance workflow</w:t>
      </w:r>
    </w:p>
    <w:p>
      <w:pPr>
        <w:pStyle w:val="ListBullet"/>
        <w:spacing w:after="60"/>
        <w:ind w:left="283"/>
      </w:pPr>
      <w:r>
        <w:rPr>
          <w:rFonts w:ascii="Arial" w:hAnsi="Arial"/>
          <w:sz w:val="21"/>
        </w:rPr>
        <w:t>Profile review cycle integrated with existing care plan reviews</w:t>
      </w:r>
    </w:p>
    <w:p>
      <w:pPr>
        <w:pStyle w:val="ListBullet"/>
        <w:spacing w:after="60"/>
        <w:ind w:left="283"/>
      </w:pPr>
      <w:r>
        <w:rPr>
          <w:rFonts w:ascii="Arial" w:hAnsi="Arial"/>
          <w:sz w:val="21"/>
        </w:rPr>
        <w:t>Ongoing IT support and maintenance plan</w:t>
      </w:r>
    </w:p>
    <w:p>
      <w:pPr>
        <w:pStyle w:val="Heading2"/>
      </w:pPr>
      <w:r>
        <w:t>Phase 4 — Enhancement (Potential)</w:t>
      </w:r>
    </w:p>
    <w:p>
      <w:pPr>
        <w:pStyle w:val="ListBullet"/>
        <w:spacing w:after="60"/>
        <w:ind w:left="283"/>
      </w:pPr>
      <w:r>
        <w:rPr>
          <w:rFonts w:ascii="Arial" w:hAnsi="Arial"/>
          <w:sz w:val="21"/>
        </w:rPr>
        <w:t>Ward index page listing all residents per ward with quick-access links</w:t>
      </w:r>
    </w:p>
    <w:p>
      <w:pPr>
        <w:pStyle w:val="ListBullet"/>
        <w:spacing w:after="60"/>
        <w:ind w:left="283"/>
      </w:pPr>
      <w:r>
        <w:rPr>
          <w:rFonts w:ascii="Arial" w:hAnsi="Arial"/>
          <w:sz w:val="21"/>
        </w:rPr>
        <w:t>Audit logging of profile views</w:t>
      </w:r>
    </w:p>
    <w:p>
      <w:pPr>
        <w:pStyle w:val="ListBullet"/>
        <w:spacing w:after="60"/>
        <w:ind w:left="283"/>
      </w:pPr>
      <w:r>
        <w:rPr>
          <w:rFonts w:ascii="Arial" w:hAnsi="Arial"/>
          <w:sz w:val="21"/>
        </w:rPr>
        <w:t>Integration with care management system for automatic flag synchronisation</w:t>
      </w:r>
    </w:p>
    <w:p>
      <w:pPr>
        <w:pStyle w:val="ListBullet"/>
        <w:spacing w:after="60"/>
        <w:ind w:left="283"/>
      </w:pPr>
      <w:r>
        <w:rPr>
          <w:rFonts w:ascii="Arial" w:hAnsi="Arial"/>
          <w:sz w:val="21"/>
        </w:rPr>
        <w:t>Evaluation of broader rollout across other Bluecare facilities</w:t>
      </w:r>
    </w:p>
    <w:p>
      <w:pPr>
        <w:pStyle w:val="ListBullet"/>
        <w:spacing w:after="60"/>
        <w:ind w:left="283"/>
      </w:pPr>
      <w:r>
        <w:rPr>
          <w:rFonts w:ascii="Arial" w:hAnsi="Arial"/>
          <w:sz w:val="21"/>
        </w:rPr>
        <w:t>Assessment of commercial or innovation grant opportunities</w:t>
      </w:r>
    </w:p>
    <w:p>
      <w:pPr>
        <w:pStyle w:val="Heading1"/>
      </w:pPr>
      <w:r>
        <w:t>9. Intellectual Property Record</w:t>
      </w:r>
    </w:p>
    <w:p>
      <w:pPr>
        <w:jc w:val="left"/>
      </w:pPr>
      <w:r>
        <w:rPr>
          <w:b w:val="0"/>
        </w:rPr>
        <w:t>This section records the origin and development of the NFC Resident Profile System for the purpose of establishing prior art and intellectual property history.</w:t>
      </w:r>
    </w:p>
    <w:tbl>
      <w:tblPr>
        <w:tblW w:type="auto" w:w="0"/>
        <w:jc w:val="left"/>
        <w:tblLook w:firstColumn="1" w:firstRow="1" w:lastColumn="0" w:lastRow="0" w:noHBand="0" w:noVBand="1" w:val="04A0"/>
      </w:tblPr>
      <w:tblGrid>
        <w:gridCol w:w="9072"/>
      </w:tblGrid>
      <w:tr>
        <w:tc>
          <w:tcPr>
            <w:tcW w:type="dxa" w:w="8640"/>
            <w:shd w:val="clear" w:color="auto" w:fill="EEF3ED"/>
            <w:tcBorders>
              <w:top w:val="single" w:sz="4" w:space="0" w:color="2E6B8A"/>
              <w:left w:val="single" w:sz="4" w:space="0" w:color="2E6B8A"/>
              <w:bottom w:val="single" w:sz="4" w:space="0" w:color="2E6B8A"/>
              <w:right w:val="single" w:sz="4" w:space="0" w:color="2E6B8A"/>
            </w:tcBorders>
          </w:tcPr>
          <w:p>
            <w:pPr>
              <w:spacing w:before="80" w:after="80"/>
              <w:ind w:left="170"/>
            </w:pPr>
            <w:r>
              <w:rPr>
                <w:rFonts w:ascii="Arial" w:hAnsi="Arial"/>
                <w:b/>
                <w:color w:val="2D5A27"/>
                <w:sz w:val="20"/>
              </w:rPr>
              <w:t xml:space="preserve">Origin:  </w:t>
            </w:r>
            <w:r>
              <w:rPr>
                <w:rFonts w:ascii="Arial" w:hAnsi="Arial"/>
                <w:sz w:val="20"/>
              </w:rPr>
              <w:t>The concept, design, and implementation of the NFC Resident Profile System was originated and developed by Lincoln Huggard RN, Registered Nurse at Bluecare Talleyhaven, commencing March 2026. All system components were designed by Lincoln Huggard with the specific clinical context and workflow requirements of Australian residential aged care.</w:t>
            </w:r>
          </w:p>
        </w:tc>
      </w:tr>
    </w:tbl>
    <w:p/>
    <w:p>
      <w:pPr>
        <w:jc w:val="left"/>
      </w:pPr>
      <w:r>
        <w:rPr>
          <w:b w:val="0"/>
        </w:rPr>
        <w:t>The following components represent the original work of Lincoln Huggard:</w:t>
      </w:r>
    </w:p>
    <w:p>
      <w:pPr>
        <w:pStyle w:val="ListBullet"/>
        <w:spacing w:after="60"/>
        <w:ind w:left="283"/>
      </w:pPr>
      <w:r>
        <w:rPr>
          <w:rFonts w:ascii="Arial" w:hAnsi="Arial"/>
          <w:sz w:val="21"/>
        </w:rPr>
        <w:t>The specific combination of NFC tag technology with HTML-based resident profiles designed for aged care point-of-care use</w:t>
      </w:r>
    </w:p>
    <w:p>
      <w:pPr>
        <w:pStyle w:val="ListBullet"/>
        <w:spacing w:after="60"/>
        <w:ind w:left="283"/>
      </w:pPr>
      <w:r>
        <w:rPr>
          <w:rFonts w:ascii="Arial" w:hAnsi="Arial"/>
          <w:sz w:val="21"/>
        </w:rPr>
        <w:t>The profile content structure and field design based on clinical nursing practice at Talleyhaven</w:t>
      </w:r>
    </w:p>
    <w:p>
      <w:pPr>
        <w:pStyle w:val="ListBullet"/>
        <w:spacing w:after="60"/>
        <w:ind w:left="283"/>
      </w:pPr>
      <w:r>
        <w:rPr>
          <w:rFonts w:ascii="Arial" w:hAnsi="Arial"/>
          <w:sz w:val="21"/>
        </w:rPr>
        <w:t>The standalone browser-based profile editor with integrated care plan text import and GitHub publishing</w:t>
      </w:r>
    </w:p>
    <w:p>
      <w:pPr>
        <w:pStyle w:val="ListBullet"/>
        <w:spacing w:after="60"/>
        <w:ind w:left="283"/>
      </w:pPr>
      <w:r>
        <w:rPr>
          <w:rFonts w:ascii="Arial" w:hAnsi="Arial"/>
          <w:sz w:val="21"/>
        </w:rPr>
        <w:t>The embedded JSON data block approach for future-proof profile portability</w:t>
      </w:r>
    </w:p>
    <w:p>
      <w:pPr>
        <w:pStyle w:val="ListBullet"/>
        <w:spacing w:after="60"/>
        <w:ind w:left="283"/>
      </w:pPr>
      <w:r>
        <w:rPr>
          <w:rFonts w:ascii="Arial" w:hAnsi="Arial"/>
          <w:sz w:val="21"/>
        </w:rPr>
        <w:t>The ward-based URL structure aligned to Talleyhaven's specific ward configuration</w:t>
      </w:r>
    </w:p>
    <w:p>
      <w:pPr>
        <w:pStyle w:val="ListBullet"/>
        <w:spacing w:after="60"/>
        <w:ind w:left="283"/>
      </w:pPr>
      <w:r>
        <w:rPr>
          <w:rFonts w:ascii="Arial" w:hAnsi="Arial"/>
          <w:sz w:val="21"/>
        </w:rPr>
        <w:t>The NFR/resuscitation status visual design (green/red bar) and restrictive practice integration</w:t>
      </w:r>
    </w:p>
    <w:p>
      <w:pPr>
        <w:pStyle w:val="ListBullet"/>
        <w:spacing w:after="60"/>
        <w:ind w:left="283"/>
      </w:pPr>
      <w:r>
        <w:rPr>
          <w:rFonts w:ascii="Arial" w:hAnsi="Arial"/>
          <w:sz w:val="21"/>
        </w:rPr>
        <w:t>The clinical flag selection based on CDECT report HIGH-risk categories</w:t>
      </w:r>
    </w:p>
    <w:p>
      <w:pPr>
        <w:pStyle w:val="ListBullet"/>
        <w:spacing w:after="60"/>
        <w:ind w:left="283"/>
      </w:pPr>
      <w:r>
        <w:rPr>
          <w:rFonts w:ascii="Arial" w:hAnsi="Arial"/>
          <w:sz w:val="21"/>
        </w:rPr>
        <w:t>The care aids and equipment section based on Talleyhaven's care preference sheets</w:t>
      </w:r>
    </w:p>
    <w:p/>
    <w:p>
      <w:pPr>
        <w:jc w:val="left"/>
      </w:pPr>
      <w:r>
        <w:rPr>
          <w:b w:val="0"/>
          <w:color w:val="555555"/>
        </w:rPr>
        <w:t>This document, together with the associated source files and this conversation record, constitutes the primary evidence of the development timeline and intellectual origin of this system.</w:t>
      </w:r>
    </w:p>
    <w:p/>
    <w:p>
      <w:pPr>
        <w:pBdr>
          <w:bottom w:val="single" w:sz="6" w:space="1" w:color="D0D7DE"/>
        </w:pBdr>
      </w:pPr>
    </w:p>
    <w:p>
      <w:pPr>
        <w:jc w:val="center"/>
      </w:pPr>
      <w:r>
        <w:rPr>
          <w:rFonts w:ascii="Arial" w:hAnsi="Arial"/>
          <w:color w:val="787878"/>
          <w:sz w:val="16"/>
        </w:rPr>
        <w:t>Bluecare Talleyhaven — NFC Resident Profile System — Development Log</w:t>
        <w:br/>
        <w:t>Lincoln Huggard RN — 29 March 2026 — Internal Document</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2E6B8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3D4A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