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left"/>
      </w:pPr>
      <w:r>
        <w:rPr>
          <w:rFonts w:ascii="Arial" w:hAnsi="Arial"/>
          <w:b/>
          <w:i w:val="0"/>
          <w:color w:val="2E6B8A"/>
          <w:sz w:val="18"/>
        </w:rPr>
        <w:t>BLUECARE TALLEYHAVEN — CARETAG NFC RESIDENT PROFILE SYSTEM</w:t>
      </w:r>
    </w:p>
    <w:p>
      <w:pPr>
        <w:spacing w:after="80"/>
      </w:pPr>
      <w:r>
        <w:rPr>
          <w:rFonts w:ascii="Arial" w:hAnsi="Arial"/>
          <w:b/>
          <w:color w:val="1A3A5C"/>
          <w:sz w:val="44"/>
        </w:rPr>
        <w:t>Literature Review</w:t>
      </w:r>
    </w:p>
    <w:p>
      <w:pPr>
        <w:spacing w:after="160" w:before="0"/>
        <w:jc w:val="left"/>
      </w:pPr>
      <w:r>
        <w:rPr>
          <w:rFonts w:ascii="Arial" w:hAnsi="Arial"/>
          <w:b w:val="0"/>
          <w:i/>
          <w:color w:val="555555"/>
          <w:sz w:val="26"/>
        </w:rPr>
        <w:t>Supporting Evidence for the Need for Point-of-Care Digital Communication</w:t>
        <w:br/>
        <w:t>Tools in Australian Residential Aged Care</w:t>
      </w:r>
    </w:p>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Author</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Lincoln Huggard RN — Bluecare Talleyhaven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10 April 2026</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Purpose</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Supporting evidence for pilot study proposal — CareTag NFC System</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Databases</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PubMed / NCBI, ARIIA, ACQSC, BMC Geriatrics, Wiley Online Library</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Search Terms</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Agency staffing aged care; NFC healthcare; person-centred care dementia; digital health aged care; point-of-care information access</w:t>
            </w:r>
          </w:p>
        </w:tc>
      </w:tr>
    </w:tbl>
    <w:p/>
    <w:p>
      <w:pPr>
        <w:spacing w:before="400" w:after="160"/>
        <w:pBdr>
          <w:bottom w:val="single" w:sz="8" w:space="1" w:color="1A3A5C"/>
        </w:pBdr>
      </w:pPr>
      <w:r>
        <w:rPr>
          <w:rFonts w:ascii="Arial" w:hAnsi="Arial"/>
          <w:b/>
          <w:color w:val="1A3A5C"/>
          <w:sz w:val="28"/>
        </w:rPr>
        <w:t>Introduction</w:t>
      </w:r>
    </w:p>
    <w:p>
      <w:pPr>
        <w:spacing w:after="160" w:before="0"/>
        <w:jc w:val="left"/>
      </w:pPr>
      <w:r>
        <w:rPr>
          <w:rFonts w:ascii="Arial" w:hAnsi="Arial"/>
          <w:b w:val="0"/>
          <w:i w:val="0"/>
          <w:sz w:val="22"/>
        </w:rPr>
        <w:t>The CareTag NFC Resident Profile System is a clinician-developed digital tool designed to address a documented information gap experienced by agency staff, casual staff, and visiting clinicians in residential aged care settings. By enabling staff to access a structured resident preference and clinical flag summary via a single smartphone tap at the point of care, the system aims to improve person-centred care delivery and reduce clinical risk associated with unfamiliar staff caring for residents they have not previously met.</w:t>
      </w:r>
    </w:p>
    <w:p>
      <w:pPr>
        <w:spacing w:after="160" w:before="0"/>
        <w:jc w:val="left"/>
      </w:pPr>
      <w:r>
        <w:rPr>
          <w:rFonts w:ascii="Arial" w:hAnsi="Arial"/>
          <w:b w:val="0"/>
          <w:i w:val="0"/>
          <w:sz w:val="22"/>
        </w:rPr>
        <w:t>This literature review examines the evidence base supporting the need for such a system across four domains: (1) the impact of agency and casual staff on aged care quality; (2) the importance of person-centred communication and resident knowledge; (3) the evidence for digital health technology at the point of care; and (4) the application of NFC technology in healthcare settings. Evidence is contextualised within the Australian regulatory framework, including the Strengthened Aged Care Quality Standards and the findings of the Royal Commission into Aged Care Quality and Safety (2021).</w:t>
      </w:r>
    </w:p>
    <w:tbl>
      <w:tblPr>
        <w:tblW w:type="auto" w:w="0"/>
        <w:jc w:val="left"/>
        <w:tblLook w:firstColumn="1" w:firstRow="1" w:lastColumn="0" w:lastRow="0" w:noHBand="0" w:noVBand="1" w:val="04A0"/>
      </w:tblPr>
      <w:tblGrid>
        <w:gridCol w:w="9072"/>
      </w:tblGrid>
      <w:tr>
        <w:tc>
          <w:tcPr>
            <w:tcW w:type="dxa" w:w="9072"/>
            <w:shd w:val="clear" w:color="auto" w:fill="EEF5F9"/>
            <w:tcBorders>
              <w:left w:val="single" w:sz="16" w:space="0" w:color="2E6B8A"/>
            </w:tcBorders>
          </w:tcPr>
          <w:p>
            <w:pPr>
              <w:spacing w:before="100" w:after="100"/>
              <w:ind w:left="170"/>
            </w:pPr>
            <w:r>
              <w:rPr>
                <w:rFonts w:ascii="Arial" w:hAnsi="Arial"/>
                <w:b/>
                <w:color w:val="1A3A5C"/>
                <w:sz w:val="21"/>
              </w:rPr>
              <w:t xml:space="preserve">📌 Purpose of this Review:  </w:t>
            </w:r>
            <w:r>
              <w:rPr>
                <w:rFonts w:ascii="Arial" w:hAnsi="Arial"/>
                <w:sz w:val="21"/>
              </w:rPr>
              <w:t>This review supports the pilot study proposal for CareTag at Bluecare Talleyhaven, demonstrating that the problem being addressed is well-documented in the literature and that the proposed digital solution is consistent with established evidence for technology-supported care improvement.</w:t>
            </w:r>
          </w:p>
        </w:tc>
      </w:tr>
    </w:tbl>
    <w:p/>
    <w:p>
      <w:pPr>
        <w:spacing w:before="400" w:after="160"/>
        <w:pBdr>
          <w:bottom w:val="single" w:sz="8" w:space="1" w:color="1A3A5C"/>
        </w:pBdr>
      </w:pPr>
      <w:r>
        <w:rPr>
          <w:rFonts w:ascii="Arial" w:hAnsi="Arial"/>
          <w:b/>
          <w:color w:val="1A3A5C"/>
          <w:sz w:val="28"/>
        </w:rPr>
        <w:t>1. Agency and Casual Staff in Aged Care — A Quality and Safety Problem</w:t>
      </w:r>
    </w:p>
    <w:p>
      <w:pPr>
        <w:spacing w:after="160" w:before="0"/>
        <w:jc w:val="left"/>
      </w:pPr>
      <w:r>
        <w:rPr>
          <w:rFonts w:ascii="Arial" w:hAnsi="Arial"/>
          <w:b w:val="0"/>
          <w:i w:val="0"/>
          <w:sz w:val="22"/>
        </w:rPr>
        <w:t>Australian residential aged care facilities (RACFs) have long relied on agency and casual staff to address workforce shortages. The Royal Commission into Aged Care Quality and Safety (2021) identified workforce adequacy as a central determinant of care quality, making 148 recommendations for fundamental reform. A key concern identified was the impact of temporary workforce arrangements on the continuity and quality of resident care.</w:t>
      </w:r>
    </w:p>
    <w:p>
      <w:pPr>
        <w:spacing w:before="280" w:after="120"/>
      </w:pPr>
      <w:r>
        <w:rPr>
          <w:rFonts w:ascii="Arial" w:hAnsi="Arial"/>
          <w:b/>
          <w:color w:val="2E6B8A"/>
          <w:sz w:val="24"/>
        </w:rPr>
        <w:t>1.1 Agency Staffing and Quality of Care Outcomes</w:t>
      </w:r>
    </w:p>
    <w:p>
      <w:pPr>
        <w:spacing w:after="160" w:before="0"/>
        <w:jc w:val="left"/>
      </w:pPr>
      <w:r>
        <w:rPr>
          <w:rFonts w:ascii="Arial" w:hAnsi="Arial"/>
          <w:b w:val="0"/>
          <w:i w:val="0"/>
          <w:sz w:val="22"/>
        </w:rPr>
        <w:t>A significant Australian study examined quality of care outcomes across 1,709 unique RACFs over five years (2015–2019), using de-identified Royal Commission datasets. The findings demonstrated that greater reliance on agency care staff was associated with significantly poorer outcomes, including higher rates of complaints, missing persons, reportable assaults, hospitalisations, and accreditation flags — even after controlling for other workforce variables.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Ma, N. et al. (2022). </w:t>
            </w:r>
            <w:r>
              <w:rPr>
                <w:rFonts w:ascii="Arial" w:hAnsi="Arial"/>
                <w:i/>
                <w:sz w:val="19"/>
              </w:rPr>
              <w:t xml:space="preserve">The quality effects of agency staffing in residential aged care. </w:t>
            </w:r>
            <w:r>
              <w:rPr>
                <w:rFonts w:ascii="Arial" w:hAnsi="Arial"/>
                <w:sz w:val="19"/>
              </w:rPr>
              <w:t>Australasian Journal on Ageing. doi:10.1111/ajag.13132.</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RACFs with greater reliance on agency care staff have poorer quality of care outcomes across multiple indicators. The study found significantly higher rates of complaints, missing persons, reportable assaults, hospitalisations, and accreditation flags in higher-agency facilities. Authors conclude that "providers could consider adopting organisational strategies for mitigating the detrimental effects of agency staffing."</w:t>
            </w:r>
          </w:p>
        </w:tc>
      </w:tr>
    </w:tbl>
    <w:p/>
    <w:p>
      <w:pPr>
        <w:spacing w:after="160" w:before="0"/>
        <w:jc w:val="left"/>
      </w:pPr>
      <w:r>
        <w:rPr>
          <w:rFonts w:ascii="Arial" w:hAnsi="Arial"/>
          <w:b w:val="0"/>
          <w:i w:val="0"/>
          <w:sz w:val="22"/>
        </w:rPr>
        <w:t>The mechanism by which agency staffing affects quality is well understood: agency staff lack familiarity with individual residents, their communication preferences, clinical risk profiles, and behavioural triggers. This information gap creates risk at the point of care. The CareTag system directly addresses this mechanism by providing structured, accessible resident information before care is delivered.</w:t>
      </w:r>
    </w:p>
    <w:p>
      <w:pPr>
        <w:spacing w:before="280" w:after="120"/>
      </w:pPr>
      <w:r>
        <w:rPr>
          <w:rFonts w:ascii="Arial" w:hAnsi="Arial"/>
          <w:b/>
          <w:color w:val="2E6B8A"/>
          <w:sz w:val="24"/>
        </w:rPr>
        <w:t>1.2 Documentation Quality and Information Gaps</w:t>
      </w:r>
    </w:p>
    <w:p>
      <w:pPr>
        <w:spacing w:after="160" w:before="0"/>
        <w:jc w:val="left"/>
      </w:pPr>
      <w:r>
        <w:rPr>
          <w:rFonts w:ascii="Arial" w:hAnsi="Arial"/>
          <w:b w:val="0"/>
          <w:i w:val="0"/>
          <w:sz w:val="22"/>
        </w:rPr>
        <w:t>A 2024 study of 135 aged care and disability staff in Western Australia identified the specific documentation and information quality issues created by reliance on external and agency providers. The study used semi-structured interviews and surveys across clinical, care, administrative, and management roles.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Tshering, G. et al. (2024). </w:t>
            </w:r>
            <w:r>
              <w:rPr>
                <w:rFonts w:ascii="Arial" w:hAnsi="Arial"/>
                <w:i/>
                <w:sz w:val="19"/>
              </w:rPr>
              <w:t xml:space="preserve">Factors impacting clinical data and documentation quality in Australian aged care and disability services: a user-centred perspective. </w:t>
            </w:r>
            <w:r>
              <w:rPr>
                <w:rFonts w:ascii="Arial" w:hAnsi="Arial"/>
                <w:sz w:val="19"/>
              </w:rPr>
              <w:t>BMC Geriatrics. doi:10.1186/s12877-024-04899-1.</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External providers and agency staff are commonly employed to fill workforce gaps, but are not required to adhere to internal documentation policies. Participants reported: "External providers have their own book for notes — so we don't know what happens." Workforce shortages underlie reliance on agency staff and deprioritisation of documentation and verbal handover practices. Authors recommend improved clinical information systems tailored to workforce diversity.</w:t>
            </w:r>
          </w:p>
        </w:tc>
      </w:tr>
    </w:tbl>
    <w:p/>
    <w:p>
      <w:pPr>
        <w:spacing w:after="160" w:before="0"/>
        <w:jc w:val="left"/>
      </w:pPr>
      <w:r>
        <w:rPr>
          <w:rFonts w:ascii="Arial" w:hAnsi="Arial"/>
          <w:b w:val="0"/>
          <w:i w:val="0"/>
          <w:sz w:val="22"/>
        </w:rPr>
        <w:t>The study further notes that in 2022, Australia faced a shortage of almost 100,000 aged care workers, and that this shortage directly drives reliance on agency staff and the information gaps that follow. A lightweight, accessible information tool that does not require agency staff to navigate unfamiliar clinical information systems is consistent with the solutions recommended by this research.</w:t>
      </w:r>
    </w:p>
    <w:p>
      <w:pPr>
        <w:spacing w:before="280" w:after="120"/>
      </w:pPr>
      <w:r>
        <w:rPr>
          <w:rFonts w:ascii="Arial" w:hAnsi="Arial"/>
          <w:b/>
          <w:color w:val="2E6B8A"/>
          <w:sz w:val="24"/>
        </w:rPr>
        <w:t>1.3 Workforce Shortages and Standardised Assessment</w:t>
      </w:r>
    </w:p>
    <w:p>
      <w:pPr>
        <w:spacing w:after="160" w:before="0"/>
        <w:jc w:val="left"/>
      </w:pPr>
      <w:r>
        <w:rPr>
          <w:rFonts w:ascii="Arial" w:hAnsi="Arial"/>
          <w:b w:val="0"/>
          <w:i w:val="0"/>
          <w:sz w:val="22"/>
        </w:rPr>
        <w:t>A 2025 scoping review examining RN-led assessments in Australian RACHs identified the absence of a standardised, systematic approach to holistic resident assessment — particularly for residents with dementia or palliative care needs. The review noted that nearly two-thirds of RACHs are understaffed, with many relying on personal care workers and agency staff in place of registered nurses.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Bocks, H. et al. (2025). </w:t>
            </w:r>
            <w:r>
              <w:rPr>
                <w:rFonts w:ascii="Arial" w:hAnsi="Arial"/>
                <w:i/>
                <w:sz w:val="19"/>
              </w:rPr>
              <w:t xml:space="preserve">Registered Nurse-Led Assessments in Australian Residential Aged Care Homes: A Scoping Review. </w:t>
            </w:r>
            <w:r>
              <w:rPr>
                <w:rFonts w:ascii="Arial" w:hAnsi="Arial"/>
                <w:sz w:val="19"/>
              </w:rPr>
              <w:t>Journal of Advanced Nursing. doi:10.1111/jan.16916.</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There is currently no standardised, systematic approach to holistic nursing assessment in Australian RACHs. Staff shortages drive reliance on agency staff and PCAs. Residents with dementia, who may be unable to communicate distress in typical ways, are particularly vulnerable when assessed by staff unfamiliar with their individual needs. The review highlights the urgent need for accessible, structured tools to bridge assessment and communication gaps.</w:t>
            </w:r>
          </w:p>
        </w:tc>
      </w:tr>
    </w:tbl>
    <w:p/>
    <w:p>
      <w:pPr>
        <w:spacing w:before="400" w:after="160"/>
        <w:pBdr>
          <w:bottom w:val="single" w:sz="8" w:space="1" w:color="1A3A5C"/>
        </w:pBdr>
      </w:pPr>
      <w:r>
        <w:rPr>
          <w:rFonts w:ascii="Arial" w:hAnsi="Arial"/>
          <w:b/>
          <w:color w:val="1A3A5C"/>
          <w:sz w:val="28"/>
        </w:rPr>
        <w:t>2. Person-Centred Care — The Evidence for Knowing the Resident</w:t>
      </w:r>
    </w:p>
    <w:p>
      <w:pPr>
        <w:spacing w:after="160" w:before="0"/>
        <w:jc w:val="left"/>
      </w:pPr>
      <w:r>
        <w:rPr>
          <w:rFonts w:ascii="Arial" w:hAnsi="Arial"/>
          <w:b w:val="0"/>
          <w:i w:val="0"/>
          <w:sz w:val="22"/>
        </w:rPr>
        <w:t>Person-centred care is established as a foundational principle of quality aged care in Australia, enshrined in the Aged Care Quality Standards and reinforced by the Royal Commission. Evidence consistently demonstrates that person-centred approaches improve outcomes for residents — particularly those living with dementia — when staff have sufficient knowledge of the individual to tailor their interactions.</w:t>
      </w:r>
    </w:p>
    <w:p>
      <w:pPr>
        <w:spacing w:before="280" w:after="120"/>
      </w:pPr>
      <w:r>
        <w:rPr>
          <w:rFonts w:ascii="Arial" w:hAnsi="Arial"/>
          <w:b/>
          <w:color w:val="2E6B8A"/>
          <w:sz w:val="24"/>
        </w:rPr>
        <w:t>2.1 Regulatory Foundation</w:t>
      </w:r>
    </w:p>
    <w:p>
      <w:pPr>
        <w:spacing w:after="160" w:before="0"/>
        <w:jc w:val="left"/>
      </w:pPr>
      <w:r>
        <w:rPr>
          <w:rFonts w:ascii="Arial" w:hAnsi="Arial"/>
          <w:b w:val="0"/>
          <w:i w:val="0"/>
          <w:sz w:val="22"/>
        </w:rPr>
        <w:t>The Aged Care Quality and Safety Commission (ACQSC) explicitly requires providers to identify and understand the particular communication needs and preferences of each individual, deliver culturally safe and evidence-based care, and ensure continuity of care during transitions — including when agency or casual staff deliver care. The Strengthened Quality Standards, effective from 1 July 2024, have strengthened these requirements further.</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Aged Care Quality and Safety Commission (2024). </w:t>
            </w:r>
            <w:r>
              <w:rPr>
                <w:rFonts w:ascii="Arial" w:hAnsi="Arial"/>
                <w:i/>
                <w:sz w:val="19"/>
              </w:rPr>
              <w:t xml:space="preserve">Person-centred care — Strengthened Aged Care Quality Standards guidance. </w:t>
            </w:r>
            <w:r>
              <w:rPr>
                <w:rFonts w:ascii="Arial" w:hAnsi="Arial"/>
                <w:sz w:val="19"/>
              </w:rPr>
              <w:t>ACQSC. agedcarequality.gov.au.</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The ACQSC requires providers to: identify and understand the particular communication needs and preferences of the individual; deliver services that meet the needs of individuals with diverse backgrounds and dementia; and ensure effective communication during transitions of care including when multiple providers are involved. These requirements apply directly to agency staff interactions.</w:t>
            </w:r>
          </w:p>
        </w:tc>
      </w:tr>
    </w:tbl>
    <w:p/>
    <w:p>
      <w:pPr>
        <w:spacing w:before="280" w:after="120"/>
      </w:pPr>
      <w:r>
        <w:rPr>
          <w:rFonts w:ascii="Arial" w:hAnsi="Arial"/>
          <w:b/>
          <w:color w:val="2E6B8A"/>
          <w:sz w:val="24"/>
        </w:rPr>
        <w:t>2.2 The Impact of Staff Knowing the Resident</w:t>
      </w:r>
    </w:p>
    <w:p>
      <w:pPr>
        <w:spacing w:after="160" w:before="0"/>
        <w:jc w:val="left"/>
      </w:pPr>
      <w:r>
        <w:rPr>
          <w:rFonts w:ascii="Arial" w:hAnsi="Arial"/>
          <w:b w:val="0"/>
          <w:i w:val="0"/>
          <w:sz w:val="22"/>
        </w:rPr>
        <w:t>A systematic review and meta-analysis published in The Gerontologist (2024) examined the delivery of person-centred care for people living with dementia in residential aged care settings. The review identified staff collaboration and shared knowledge of individual residents as a key enabler of effective person-centred care.</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Multiple authors (2024). </w:t>
            </w:r>
            <w:r>
              <w:rPr>
                <w:rFonts w:ascii="Arial" w:hAnsi="Arial"/>
                <w:i/>
                <w:sz w:val="19"/>
              </w:rPr>
              <w:t xml:space="preserve">Delivery of Person-Centered Care for People Living With Dementia in Residential Aged Care: A Systematic Review and Meta-Analysis. </w:t>
            </w:r>
            <w:r>
              <w:rPr>
                <w:rFonts w:ascii="Arial" w:hAnsi="Arial"/>
                <w:sz w:val="19"/>
              </w:rPr>
              <w:t>The Gerontologist. doi:10.1093/gerontologist/gnad052.</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Staff collaboration and shared knowledge of individual residents were identified across seven studies as key enablers of person-centred care delivery. Staff acknowledged that "if colleagues get along and collaborate well, this has a positive effect on residents." Listening to colleagues' experiences and learning from them was identified as essential to supporting best practice — a finding directly applicable to information sharing between permanent and agency staff.</w:t>
            </w:r>
          </w:p>
        </w:tc>
      </w:tr>
    </w:tbl>
    <w:p/>
    <w:p>
      <w:pPr>
        <w:spacing w:before="280" w:after="120"/>
      </w:pPr>
      <w:r>
        <w:rPr>
          <w:rFonts w:ascii="Arial" w:hAnsi="Arial"/>
          <w:b/>
          <w:color w:val="2E6B8A"/>
          <w:sz w:val="24"/>
        </w:rPr>
        <w:t>2.3 Communication as a Core Component of Person-Centred Dementia Care</w:t>
      </w:r>
    </w:p>
    <w:p>
      <w:pPr>
        <w:spacing w:after="160" w:before="0"/>
        <w:jc w:val="left"/>
      </w:pPr>
      <w:r>
        <w:rPr>
          <w:rFonts w:ascii="Arial" w:hAnsi="Arial"/>
          <w:b w:val="0"/>
          <w:i w:val="0"/>
          <w:sz w:val="22"/>
        </w:rPr>
        <w:t>A 2025 mixed-methods systematic review examined communication strategies for delivering personalised dementia care. The review identified "understanding the person" as the central pillar of effective communication, with qualitative studies emphasising the importance of knowing the person and forming meaningful relationships.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Multiple authors (2025). </w:t>
            </w:r>
            <w:r>
              <w:rPr>
                <w:rFonts w:ascii="Arial" w:hAnsi="Arial"/>
                <w:i/>
                <w:sz w:val="19"/>
              </w:rPr>
              <w:t xml:space="preserve">Communication strategies for delivering personalised dementia care and support: a mixed-methods systematic review and narrative synthesis. </w:t>
            </w:r>
            <w:r>
              <w:rPr>
                <w:rFonts w:ascii="Arial" w:hAnsi="Arial"/>
                <w:sz w:val="19"/>
              </w:rPr>
              <w:t>PMC / BMC. doi: PMC12078768.</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Understanding the person was identified as a central pillar of communication when delivering personalised dementia care. The review found that "effective personalised dementia care relies on combining practical with emotional and relational communication strategies." Staff who have access to information about a resident's preferences, history, and communication style are better equipped to deliver person-centred care — particularly during care tasks where verbal and non-verbal communication strategies are required.</w:t>
            </w:r>
          </w:p>
        </w:tc>
      </w:tr>
    </w:tbl>
    <w:p/>
    <w:p>
      <w:pPr>
        <w:spacing w:before="280" w:after="120"/>
      </w:pPr>
      <w:r>
        <w:rPr>
          <w:rFonts w:ascii="Arial" w:hAnsi="Arial"/>
          <w:b/>
          <w:color w:val="2E6B8A"/>
          <w:sz w:val="24"/>
        </w:rPr>
        <w:t>2.4 The Role of Information in Improving Staff-Resident Communication</w:t>
      </w:r>
    </w:p>
    <w:p>
      <w:pPr>
        <w:spacing w:after="160" w:before="0"/>
        <w:jc w:val="left"/>
      </w:pPr>
      <w:r>
        <w:rPr>
          <w:rFonts w:ascii="Arial" w:hAnsi="Arial"/>
          <w:b w:val="0"/>
          <w:i w:val="0"/>
          <w:sz w:val="22"/>
        </w:rPr>
        <w:t>Evidence from Dementia Australia and the Victorian Department of Health demonstrates the direct relationship between staff having access to individual resident information and the quality of care interactions. Role play research has specifically shown that staff who are given an information sheet listing a resident's unique preferences and important life events perform significantly better in care interactions.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Victorian Department of Health (2023). </w:t>
            </w:r>
            <w:r>
              <w:rPr>
                <w:rFonts w:ascii="Arial" w:hAnsi="Arial"/>
                <w:i/>
                <w:sz w:val="19"/>
              </w:rPr>
              <w:t xml:space="preserve">Person-centred care — Dementia-friendly environments. </w:t>
            </w:r>
            <w:r>
              <w:rPr>
                <w:rFonts w:ascii="Arial" w:hAnsi="Arial"/>
                <w:sz w:val="19"/>
              </w:rPr>
              <w:t>health.vic.gov.au.</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Research demonstrates that when staff members are given information about a person's unique preferences and important life events before attempting care, the quality of staff-resident interaction improves significantly. The key finding: "having more information about people improves communication." Staff should "use a person's preferred name and refer to the unique details of their lives" — information that the CareTag system provides at the point of entry.</w:t>
            </w:r>
          </w:p>
        </w:tc>
      </w:tr>
    </w:tbl>
    <w:p/>
    <w:p>
      <w:pPr>
        <w:spacing w:after="160" w:before="0"/>
        <w:jc w:val="left"/>
      </w:pPr>
      <w:r>
        <w:rPr>
          <w:rFonts w:ascii="Arial" w:hAnsi="Arial"/>
          <w:b w:val="0"/>
          <w:i w:val="0"/>
          <w:sz w:val="22"/>
        </w:rPr>
        <w:t>Dementia Australia (2022) further emphasises that person-centred care education for the entire workforce — "not just nursing staff but cooks, cleaners, gardeners — everyone" — is urgently needed. The CareTag system supports this by making resident preference information accessible to all staff, regardless of their role or level of experience.</w:t>
      </w:r>
    </w:p>
    <w:p>
      <w:pPr>
        <w:spacing w:before="400" w:after="160"/>
        <w:pBdr>
          <w:bottom w:val="single" w:sz="8" w:space="1" w:color="1A3A5C"/>
        </w:pBdr>
      </w:pPr>
      <w:r>
        <w:rPr>
          <w:rFonts w:ascii="Arial" w:hAnsi="Arial"/>
          <w:b/>
          <w:color w:val="1A3A5C"/>
          <w:sz w:val="28"/>
        </w:rPr>
        <w:t>3. Digital Health Technology at the Point of Care — Evidence for Effectiveness</w:t>
      </w:r>
    </w:p>
    <w:p>
      <w:pPr>
        <w:spacing w:after="160" w:before="0"/>
        <w:jc w:val="left"/>
      </w:pPr>
      <w:r>
        <w:rPr>
          <w:rFonts w:ascii="Arial" w:hAnsi="Arial"/>
          <w:b w:val="0"/>
          <w:i w:val="0"/>
          <w:sz w:val="22"/>
        </w:rPr>
        <w:t>A growing body of evidence supports the use of digital health technologies to improve care delivery, reduce documentation burden, and support clinical decision-making in aged care settings. The weight of evidence, while acknowledging implementation challenges, is positive for technology-supported information access at the point of care.</w:t>
      </w:r>
    </w:p>
    <w:p>
      <w:pPr>
        <w:spacing w:before="280" w:after="120"/>
      </w:pPr>
      <w:r>
        <w:rPr>
          <w:rFonts w:ascii="Arial" w:hAnsi="Arial"/>
          <w:b/>
          <w:color w:val="2E6B8A"/>
          <w:sz w:val="24"/>
        </w:rPr>
        <w:t>3.1 Digital Technologies and Nursing Care Effectiveness</w:t>
      </w:r>
    </w:p>
    <w:p>
      <w:pPr>
        <w:spacing w:after="160" w:before="0"/>
        <w:jc w:val="left"/>
      </w:pPr>
      <w:r>
        <w:rPr>
          <w:rFonts w:ascii="Arial" w:hAnsi="Arial"/>
          <w:b w:val="0"/>
          <w:i w:val="0"/>
          <w:sz w:val="22"/>
        </w:rPr>
        <w:t>A systematic scoping review of digital technologies supporting nursing care found broadly positive results across patient safety, documentation efficiency, and workflow improvement. Particularly relevant were findings related to patient handover and information exchange tools.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Huter, K. et al. (2020). </w:t>
            </w:r>
            <w:r>
              <w:rPr>
                <w:rFonts w:ascii="Arial" w:hAnsi="Arial"/>
                <w:i/>
                <w:sz w:val="19"/>
              </w:rPr>
              <w:t xml:space="preserve">Effectiveness of Digital Technologies to Support Nursing Care: Results of a Scoping Review. </w:t>
            </w:r>
            <w:r>
              <w:rPr>
                <w:rFonts w:ascii="Arial" w:hAnsi="Arial"/>
                <w:sz w:val="19"/>
              </w:rPr>
              <w:t>Journal of Medical Internet Research / PMC. PMC7734078.</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All four studies covering aspects of health information exchange or patient handovers yielded positive results in terms of reduced workload or treatment times for caregivers and reduced incomplete documentation or error rates. Nurse reminder tools and patient information systems consistently demonstrated positive effects. The review identifies that effective implementation requires alignment with existing care workflows — a design principle central to the CareTag system.</w:t>
            </w:r>
          </w:p>
        </w:tc>
      </w:tr>
    </w:tbl>
    <w:p/>
    <w:p>
      <w:pPr>
        <w:spacing w:before="280" w:after="120"/>
      </w:pPr>
      <w:r>
        <w:rPr>
          <w:rFonts w:ascii="Arial" w:hAnsi="Arial"/>
          <w:b/>
          <w:color w:val="2E6B8A"/>
          <w:sz w:val="24"/>
        </w:rPr>
        <w:t>3.2 Digital Technology and Care Home Quality</w:t>
      </w:r>
    </w:p>
    <w:p>
      <w:pPr>
        <w:spacing w:after="160" w:before="0"/>
        <w:jc w:val="left"/>
      </w:pPr>
      <w:r>
        <w:rPr>
          <w:rFonts w:ascii="Arial" w:hAnsi="Arial"/>
          <w:b w:val="0"/>
          <w:i w:val="0"/>
          <w:sz w:val="22"/>
        </w:rPr>
        <w:t>A 2024 study published in Age &amp; Ageing examined the impact of a digital care home technology (Health Call app) on unplanned secondary care usage, demonstrating that point-of-care digital tools can measurably improve resident outcomes and reduce avoidable hospital presentations.</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Garner, A. et al. (2024). </w:t>
            </w:r>
            <w:r>
              <w:rPr>
                <w:rFonts w:ascii="Arial" w:hAnsi="Arial"/>
                <w:i/>
                <w:sz w:val="19"/>
              </w:rPr>
              <w:t xml:space="preserve">The impact of digital technology in care homes on unplanned secondary care usage and associated costs. </w:t>
            </w:r>
            <w:r>
              <w:rPr>
                <w:rFonts w:ascii="Arial" w:hAnsi="Arial"/>
                <w:sz w:val="19"/>
              </w:rPr>
              <w:t>Age and Ageing. doi:10.1093/ageing/afae004.</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A substantial number of Emergency Department attendances by care home residents are potentially avoidable. Digital technology that streamlines communication of resident observations and care information between care home and health services was associated with measurable reductions in unplanned secondary care usage. The study demonstrates the system-level value of digital care home tools beyond convenience.</w:t>
            </w:r>
          </w:p>
        </w:tc>
      </w:tr>
    </w:tbl>
    <w:p/>
    <w:p>
      <w:pPr>
        <w:spacing w:before="280" w:after="120"/>
      </w:pPr>
      <w:r>
        <w:rPr>
          <w:rFonts w:ascii="Arial" w:hAnsi="Arial"/>
          <w:b/>
          <w:color w:val="2E6B8A"/>
          <w:sz w:val="24"/>
        </w:rPr>
        <w:t>3.3 Implementation of Digital Technologies for Older Adults</w:t>
      </w:r>
    </w:p>
    <w:p>
      <w:pPr>
        <w:spacing w:after="160" w:before="0"/>
        <w:jc w:val="left"/>
      </w:pPr>
      <w:r>
        <w:rPr>
          <w:rFonts w:ascii="Arial" w:hAnsi="Arial"/>
          <w:b w:val="0"/>
          <w:i w:val="0"/>
          <w:sz w:val="22"/>
        </w:rPr>
        <w:t>A 2024 scoping review examined implementation factors for digital health technologies in aged care settings, identifying that stakeholder engagement and alignment with existing care workflows are critical determinants of successful adoption.</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Jutai, J. et al. (2024). </w:t>
            </w:r>
            <w:r>
              <w:rPr>
                <w:rFonts w:ascii="Arial" w:hAnsi="Arial"/>
                <w:i/>
                <w:sz w:val="19"/>
              </w:rPr>
              <w:t xml:space="preserve">Implementation of digital health technologies for older adults: a scoping review. </w:t>
            </w:r>
            <w:r>
              <w:rPr>
                <w:rFonts w:ascii="Arial" w:hAnsi="Arial"/>
                <w:sz w:val="19"/>
              </w:rPr>
              <w:t>Frontiers in Aging. doi:10.3389/fragi.2024.1349520.</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Implementation of digital health technologies is most successful when technologies align with end-user values and existing workflows. Governance and organisational factors are particularly important in residential care settings. The review emphasises that technology development should include consideration of implementation factors from the outset — a principle reflected in the CareTag system's design by a practising clinician.</w:t>
            </w:r>
          </w:p>
        </w:tc>
      </w:tr>
    </w:tbl>
    <w:p/>
    <w:p>
      <w:pPr>
        <w:spacing w:before="400" w:after="160"/>
        <w:pBdr>
          <w:bottom w:val="single" w:sz="8" w:space="1" w:color="1A3A5C"/>
        </w:pBdr>
      </w:pPr>
      <w:r>
        <w:rPr>
          <w:rFonts w:ascii="Arial" w:hAnsi="Arial"/>
          <w:b/>
          <w:color w:val="1A3A5C"/>
          <w:sz w:val="28"/>
        </w:rPr>
        <w:t>4. NFC Technology in Healthcare — Evidence for Application</w:t>
      </w:r>
    </w:p>
    <w:p>
      <w:pPr>
        <w:spacing w:after="160" w:before="0"/>
        <w:jc w:val="left"/>
      </w:pPr>
      <w:r>
        <w:rPr>
          <w:rFonts w:ascii="Arial" w:hAnsi="Arial"/>
          <w:b w:val="0"/>
          <w:i w:val="0"/>
          <w:sz w:val="22"/>
        </w:rPr>
        <w:t>Near Field Communication (NFC) technology has been the subject of growing research interest in healthcare settings. Evidence demonstrates its utility for patient identification, medication management, ward round support, and point-of-care information access — all directly relevant to the CareTag application.</w:t>
      </w:r>
    </w:p>
    <w:p>
      <w:pPr>
        <w:spacing w:before="280" w:after="120"/>
      </w:pPr>
      <w:r>
        <w:rPr>
          <w:rFonts w:ascii="Arial" w:hAnsi="Arial"/>
          <w:b/>
          <w:color w:val="2E6B8A"/>
          <w:sz w:val="24"/>
        </w:rPr>
        <w:t>4.1 NFC for Patient Identification and Safety</w:t>
      </w:r>
    </w:p>
    <w:p>
      <w:pPr>
        <w:spacing w:after="160" w:before="0"/>
        <w:jc w:val="left"/>
      </w:pPr>
      <w:r>
        <w:rPr>
          <w:rFonts w:ascii="Arial" w:hAnsi="Arial"/>
          <w:b w:val="0"/>
          <w:i w:val="0"/>
          <w:sz w:val="22"/>
        </w:rPr>
        <w:t>NFC technology has been extensively studied for its potential to reduce clinical errors through improved patient identification. A peer-reviewed study published in the Annals of Medicine and Surgery demonstrated a statistically significant reduction in medication errors when NFC was used compared to a paper-based system.</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Quinn, B. et al. (2017). </w:t>
            </w:r>
            <w:r>
              <w:rPr>
                <w:rFonts w:ascii="Arial" w:hAnsi="Arial"/>
                <w:i/>
                <w:sz w:val="19"/>
              </w:rPr>
              <w:t xml:space="preserve">Near field communications technology and the potential to reduce medication errors through multidisciplinary application. </w:t>
            </w:r>
            <w:r>
              <w:rPr>
                <w:rFonts w:ascii="Arial" w:hAnsi="Arial"/>
                <w:sz w:val="19"/>
              </w:rPr>
              <w:t>Annals of Medicine and Surgery. doi: PubMed 28293602.</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A significant difference in medication errors was observed when NFC and paper-based systems were compared. Paper use resulted in a mean of 4.09 errors per prescribing round while NFC prescribing resulted in a mean of 0.22 errors per simulated prescribing round (p=0.000). The study concluded NFC technology has significant potential to improve patient safety across multidisciplinary healthcare teams.</w:t>
            </w:r>
          </w:p>
        </w:tc>
      </w:tr>
    </w:tbl>
    <w:p/>
    <w:p>
      <w:pPr>
        <w:spacing w:before="280" w:after="120"/>
      </w:pPr>
      <w:r>
        <w:rPr>
          <w:rFonts w:ascii="Arial" w:hAnsi="Arial"/>
          <w:b/>
          <w:color w:val="2E6B8A"/>
          <w:sz w:val="24"/>
        </w:rPr>
        <w:t>4.2 NFC for Ward Round and Patient Information Systems</w:t>
      </w:r>
    </w:p>
    <w:p>
      <w:pPr>
        <w:spacing w:after="160" w:before="0"/>
        <w:jc w:val="left"/>
      </w:pPr>
      <w:r>
        <w:rPr>
          <w:rFonts w:ascii="Arial" w:hAnsi="Arial"/>
          <w:b w:val="0"/>
          <w:i w:val="0"/>
          <w:sz w:val="22"/>
        </w:rPr>
        <w:t>Research into NFC-based ward round systems has demonstrated the feasibility and utility of using NFC tags and mobile devices to access patient information at the bedside. Köstinger et al. (2013) developed an NFC-based patient identification and ward round system for mobile devices, demonstrating that clinicians could access and interact with patient information through a simple tap — directly analogous to the CareTag model.</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Isomursu, M. et al. (2012). </w:t>
            </w:r>
            <w:r>
              <w:rPr>
                <w:rFonts w:ascii="Arial" w:hAnsi="Arial"/>
                <w:i/>
                <w:sz w:val="19"/>
              </w:rPr>
              <w:t xml:space="preserve">Mobile Identification: NFC in the Healthcare Sector. </w:t>
            </w:r>
            <w:r>
              <w:rPr>
                <w:rFonts w:ascii="Arial" w:hAnsi="Arial"/>
                <w:sz w:val="19"/>
              </w:rPr>
              <w:t>ResearchGate / IEEE. doi:10.13140/RG.2.1.1838.1524.</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NFC technology in healthcare offers benefits including improvement of care quality, friendly human interface, and compatibility with existing mobile devices. The main healthcare applications are patient identification and information access. The review identifies that "using NFC to create powerful medical systems can protect patients from fatal medical mistakes" by ensuring the right information is available at the right time.</w:t>
            </w:r>
          </w:p>
        </w:tc>
      </w:tr>
    </w:tbl>
    <w:p/>
    <w:p>
      <w:pPr>
        <w:spacing w:before="280" w:after="120"/>
      </w:pPr>
      <w:r>
        <w:rPr>
          <w:rFonts w:ascii="Arial" w:hAnsi="Arial"/>
          <w:b/>
          <w:color w:val="2E6B8A"/>
          <w:sz w:val="24"/>
        </w:rPr>
        <w:t>4.3 NFC and Biomedical Applications — Broader Evidence</w:t>
      </w:r>
    </w:p>
    <w:tbl>
      <w:tblPr>
        <w:tblW w:type="auto" w:w="0"/>
        <w:jc w:val="left"/>
        <w:tblLook w:firstColumn="1" w:firstRow="1" w:lastColumn="0" w:lastRow="0" w:noHBand="0" w:noVBand="1" w:val="04A0"/>
      </w:tblPr>
      <w:tblGrid>
        <w:gridCol w:w="9072"/>
      </w:tblGrid>
      <w:tr>
        <w:tc>
          <w:tcPr>
            <w:tcW w:type="dxa" w:w="9072"/>
            <w:shd w:val="clear" w:color="auto" w:fill="EEF5F9"/>
            <w:tcBorders>
              <w:top w:val="single" w:sz="4" w:space="0" w:color="2E6B8A"/>
              <w:left w:val="single" w:sz="4" w:space="0" w:color="2E6B8A"/>
              <w:bottom w:val="single" w:sz="4" w:space="0" w:color="2E6B8A"/>
              <w:right w:val="single" w:sz="4" w:space="0" w:color="2E6B8A"/>
            </w:tcBorders>
          </w:tcPr>
          <w:p>
            <w:pPr>
              <w:spacing w:before="80" w:after="40"/>
              <w:ind w:left="170"/>
            </w:pPr>
            <w:r>
              <w:rPr>
                <w:rFonts w:ascii="Arial" w:hAnsi="Arial"/>
                <w:b/>
                <w:color w:val="1A3A5C"/>
                <w:sz w:val="19"/>
              </w:rPr>
              <w:t xml:space="preserve">Kim, J. et al. (2021). </w:t>
            </w:r>
            <w:r>
              <w:rPr>
                <w:rFonts w:ascii="Arial" w:hAnsi="Arial"/>
                <w:i/>
                <w:sz w:val="19"/>
              </w:rPr>
              <w:t xml:space="preserve">Near-Field Communication in Biomedical Applications. </w:t>
            </w:r>
            <w:r>
              <w:rPr>
                <w:rFonts w:ascii="Arial" w:hAnsi="Arial"/>
                <w:sz w:val="19"/>
              </w:rPr>
              <w:t>PMC / MDPI Sensors. PMC7864326.</w:t>
            </w:r>
          </w:p>
        </w:tc>
      </w:tr>
      <w:tr>
        <w:tc>
          <w:tcPr>
            <w:tcW w:type="dxa" w:w="9072"/>
            <w:shd w:val="clear" w:color="auto" w:fill="FAFAFA"/>
            <w:tcBorders>
              <w:top w:val="single" w:sz="4" w:space="0" w:color="D0D7DE"/>
              <w:left w:val="single" w:sz="4" w:space="0" w:color="D0D7DE"/>
              <w:bottom w:val="single" w:sz="4" w:space="0" w:color="D0D7DE"/>
              <w:right w:val="single" w:sz="4" w:space="0" w:color="D0D7DE"/>
            </w:tcBorders>
          </w:tcPr>
          <w:p>
            <w:pPr>
              <w:spacing w:before="80" w:after="80"/>
              <w:ind w:left="170"/>
            </w:pPr>
            <w:r>
              <w:rPr>
                <w:rFonts w:ascii="Arial" w:hAnsi="Arial"/>
                <w:b/>
                <w:color w:val="2E6B8A"/>
                <w:sz w:val="20"/>
              </w:rPr>
              <w:t xml:space="preserve">Key finding: </w:t>
            </w:r>
            <w:r>
              <w:rPr>
                <w:rFonts w:ascii="Arial" w:hAnsi="Arial"/>
                <w:sz w:val="20"/>
              </w:rPr>
              <w:t>NFC technology is used across a range of biomedical applications including patient identification, medication monitoring, and real-time health information access. The technology enables healthcare providers to instantly access patient information, improving workflow and enabling informed decision-making. NFC is particularly suited to environments where hygiene and efficiency are paramount, making aged care settings a natural application context.</w:t>
            </w:r>
          </w:p>
        </w:tc>
      </w:tr>
    </w:tbl>
    <w:p/>
    <w:p>
      <w:pPr>
        <w:spacing w:before="400" w:after="160"/>
        <w:pBdr>
          <w:bottom w:val="single" w:sz="8" w:space="1" w:color="1A3A5C"/>
        </w:pBdr>
      </w:pPr>
      <w:r>
        <w:rPr>
          <w:rFonts w:ascii="Arial" w:hAnsi="Arial"/>
          <w:b/>
          <w:color w:val="1A3A5C"/>
          <w:sz w:val="28"/>
        </w:rPr>
        <w:t>5. Synthesis — Evidence Supporting CareTag</w:t>
      </w:r>
    </w:p>
    <w:p>
      <w:pPr>
        <w:spacing w:after="160" w:before="0"/>
        <w:jc w:val="left"/>
      </w:pPr>
      <w:r>
        <w:rPr>
          <w:rFonts w:ascii="Arial" w:hAnsi="Arial"/>
          <w:b w:val="0"/>
          <w:i w:val="0"/>
          <w:sz w:val="22"/>
        </w:rPr>
        <w:t>The literature reviewed across these four domains converges on a clear and consistent finding: there is a documented, significant problem with information accessibility for non-permanent staff in residential aged care, and digital technology at the point of care represents an evidence-supported solution. The following synthesis maps the literature findings directly to the CareTag system.</w:t>
      </w:r>
    </w:p>
    <w:tbl>
      <w:tblPr>
        <w:tblW w:type="auto" w:w="0"/>
        <w:jc w:val="left"/>
        <w:tblLook w:firstColumn="1" w:firstRow="1" w:lastColumn="0" w:lastRow="0" w:noHBand="0" w:noVBand="1" w:val="04A0"/>
      </w:tblPr>
      <w:tblGrid>
        <w:gridCol w:w="2551"/>
        <w:gridCol w:w="3969"/>
        <w:gridCol w:w="2835"/>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Problem / Gap</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Evidence</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CareTag Response</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Agency staff have poorer care outcomes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Ma et al. (2022) — Australian RACF data across 5 years, 1,709 facilities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Provides structured resident information before care is delivered</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Agency staff lack access to resident information</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Tshering et al. (2024) — external providers don't follow documentation protocols</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PIN-protected profile accessible on any smartphone, no system login required</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No standardised resident information tool for agency staff</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Bocks et al. (2025) — no standardised holistic assessment approach in Australian RACHs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Structured profile with consistent fields across all residents and wards</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Person-centred care requires knowing the resident</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ACQSC (2024); Victorian DoH (2023); multiple systematic reviews</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Profile includes preferred name, communication style, triggers, preferences</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Digital tools at point of care improve outcomes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Huter et al. (2020); Garner et al. (2024)</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Smartphone tap delivers information at the moment of care — before entering the room</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NFC reduces clinical errors and improves information access</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sz w:val="19"/>
              </w:rPr>
              <w:t>Quinn et al. (2017); Kim et al. (2021); Isomursu et al. (2012)</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NFC tag on door frame provides instant, frictionless access — no app required</w:t>
            </w:r>
          </w:p>
        </w:tc>
      </w:tr>
    </w:tbl>
    <w:p/>
    <w:tbl>
      <w:tblPr>
        <w:tblW w:type="auto" w:w="0"/>
        <w:jc w:val="left"/>
        <w:tblLook w:firstColumn="1" w:firstRow="1" w:lastColumn="0" w:lastRow="0" w:noHBand="0" w:noVBand="1" w:val="04A0"/>
      </w:tblPr>
      <w:tblGrid>
        <w:gridCol w:w="9072"/>
      </w:tblGrid>
      <w:tr>
        <w:tc>
          <w:tcPr>
            <w:tcW w:type="dxa" w:w="9072"/>
            <w:shd w:val="clear" w:color="auto" w:fill="EEF3ED"/>
            <w:tcBorders>
              <w:left w:val="single" w:sz="16" w:space="0" w:color="2D5A27"/>
            </w:tcBorders>
          </w:tcPr>
          <w:p>
            <w:pPr>
              <w:spacing w:before="100" w:after="100"/>
              <w:ind w:left="170"/>
            </w:pPr>
            <w:r>
              <w:rPr>
                <w:rFonts w:ascii="Arial" w:hAnsi="Arial"/>
                <w:b/>
                <w:color w:val="2D5A27"/>
                <w:sz w:val="21"/>
              </w:rPr>
              <w:t xml:space="preserve">✅ Conclusion:  </w:t>
            </w:r>
            <w:r>
              <w:rPr>
                <w:rFonts w:ascii="Arial" w:hAnsi="Arial"/>
                <w:sz w:val="21"/>
              </w:rPr>
              <w:t>The convergence of evidence across aged care workforce research, person-centred care literature, digital health implementation studies, and NFC technology research provides a strong foundation for the CareTag pilot study. The system addresses a documented, measurable problem using an evidence-supported technological approach, designed by a clinician with direct knowledge of the care environment.</w:t>
            </w:r>
          </w:p>
        </w:tc>
      </w:tr>
    </w:tbl>
    <w:p/>
    <w:p>
      <w:pPr>
        <w:spacing w:before="400" w:after="160"/>
        <w:pBdr>
          <w:bottom w:val="single" w:sz="8" w:space="1" w:color="1A3A5C"/>
        </w:pBdr>
      </w:pPr>
      <w:r>
        <w:rPr>
          <w:rFonts w:ascii="Arial" w:hAnsi="Arial"/>
          <w:b/>
          <w:color w:val="1A3A5C"/>
          <w:sz w:val="28"/>
        </w:rPr>
        <w:t>6. Limitations of the Evidence Base</w:t>
      </w:r>
    </w:p>
    <w:p>
      <w:pPr>
        <w:spacing w:after="160" w:before="0"/>
        <w:jc w:val="left"/>
      </w:pPr>
      <w:r>
        <w:rPr>
          <w:rFonts w:ascii="Arial" w:hAnsi="Arial"/>
          <w:b w:val="0"/>
          <w:i w:val="0"/>
          <w:sz w:val="22"/>
        </w:rPr>
        <w:t>This review acknowledges the following limitations in the available evidence:</w:t>
      </w:r>
    </w:p>
    <w:p>
      <w:pPr>
        <w:pStyle w:val="ListBullet"/>
        <w:spacing w:after="80"/>
        <w:ind w:left="340"/>
      </w:pPr>
      <w:r>
        <w:rPr>
          <w:rFonts w:ascii="Arial" w:hAnsi="Arial"/>
          <w:sz w:val="22"/>
        </w:rPr>
        <w:t>No studies were identified that specifically examine NFC-based resident profile systems in aged care settings — CareTag represents a novel application of established technology in a new context</w:t>
      </w:r>
    </w:p>
    <w:p>
      <w:pPr>
        <w:pStyle w:val="ListBullet"/>
        <w:spacing w:after="80"/>
        <w:ind w:left="340"/>
      </w:pPr>
      <w:r>
        <w:rPr>
          <w:rFonts w:ascii="Arial" w:hAnsi="Arial"/>
          <w:sz w:val="22"/>
        </w:rPr>
        <w:t>Most NFC healthcare studies are conducted in acute hospital settings — generalisability to residential aged care requires empirical testing, which the CareTag pilot aims to provide</w:t>
      </w:r>
    </w:p>
    <w:p>
      <w:pPr>
        <w:pStyle w:val="ListBullet"/>
        <w:spacing w:after="80"/>
        <w:ind w:left="340"/>
      </w:pPr>
      <w:r>
        <w:rPr>
          <w:rFonts w:ascii="Arial" w:hAnsi="Arial"/>
          <w:sz w:val="22"/>
        </w:rPr>
        <w:t>Evidence for person-centred care interventions is predominantly focused on dementia populations — while the CareTag system is applicable to all residents, the strongest evidence base relates to dementia care</w:t>
      </w:r>
    </w:p>
    <w:p>
      <w:pPr>
        <w:pStyle w:val="ListBullet"/>
        <w:spacing w:after="80"/>
        <w:ind w:left="340"/>
      </w:pPr>
      <w:r>
        <w:rPr>
          <w:rFonts w:ascii="Arial" w:hAnsi="Arial"/>
          <w:sz w:val="22"/>
        </w:rPr>
        <w:t>Evidence levels for many digital health aged care studies are low to moderate, reflecting the relatively recent adoption of such technologies in the sector</w:t>
      </w:r>
    </w:p>
    <w:p>
      <w:pPr>
        <w:pStyle w:val="ListBullet"/>
        <w:spacing w:after="80"/>
        <w:ind w:left="340"/>
      </w:pPr>
      <w:r>
        <w:rPr>
          <w:rFonts w:ascii="Arial" w:hAnsi="Arial"/>
          <w:sz w:val="22"/>
        </w:rPr>
        <w:t>Australian-specific NFC healthcare literature is limited — most evidence is drawn from international settings, primarily the United Kingdom and Europe</w:t>
      </w:r>
    </w:p>
    <w:p>
      <w:pPr>
        <w:spacing w:after="160" w:before="0"/>
        <w:jc w:val="left"/>
      </w:pPr>
      <w:r>
        <w:rPr>
          <w:rFonts w:ascii="Arial" w:hAnsi="Arial"/>
          <w:b w:val="0"/>
          <w:i/>
          <w:color w:val="555555"/>
          <w:sz w:val="22"/>
        </w:rPr>
        <w:t>These limitations underscore the importance and timeliness of the proposed CareTag pilot study at Bluecare Talleyhaven, which will generate Australian residential aged care-specific evidence for a novel point-of-care digital communication tool.</w:t>
      </w:r>
    </w:p>
    <w:p>
      <w:pPr>
        <w:spacing w:before="400" w:after="160"/>
        <w:pBdr>
          <w:bottom w:val="single" w:sz="8" w:space="1" w:color="1A3A5C"/>
        </w:pBdr>
      </w:pPr>
      <w:r>
        <w:rPr>
          <w:rFonts w:ascii="Arial" w:hAnsi="Arial"/>
          <w:b/>
          <w:color w:val="1A3A5C"/>
          <w:sz w:val="28"/>
        </w:rPr>
        <w:t>References</w:t>
      </w:r>
    </w:p>
    <w:p>
      <w:pPr>
        <w:spacing w:after="100"/>
        <w:ind w:left="340" w:hanging="340"/>
      </w:pPr>
      <w:r>
        <w:rPr>
          <w:rFonts w:ascii="Arial" w:hAnsi="Arial"/>
          <w:sz w:val="19"/>
        </w:rPr>
        <w:t>1. Aged Care Quality and Safety Commission. (2024). Person-centred care — Strengthened Aged Care Quality Standards. Australian Government. https://www.agedcarequality.gov.au/strengthened-quality-standards/individual/person-centred-care</w:t>
      </w:r>
    </w:p>
    <w:p>
      <w:pPr>
        <w:spacing w:after="100"/>
        <w:ind w:left="340" w:hanging="340"/>
      </w:pPr>
      <w:r>
        <w:rPr>
          <w:rFonts w:ascii="Arial" w:hAnsi="Arial"/>
          <w:sz w:val="19"/>
        </w:rPr>
        <w:t>2. Bocks, H. et al. (2025). Registered Nurse-Led Assessments in Australian Residential Aged Care Homes: A Scoping Review. Journal of Advanced Nursing. doi:10.1111/jan.16916</w:t>
      </w:r>
    </w:p>
    <w:p>
      <w:pPr>
        <w:spacing w:after="100"/>
        <w:ind w:left="340" w:hanging="340"/>
      </w:pPr>
      <w:r>
        <w:rPr>
          <w:rFonts w:ascii="Arial" w:hAnsi="Arial"/>
          <w:sz w:val="19"/>
        </w:rPr>
        <w:t>3. Dementia Australia. (2022). Person-centred models in dementia care — Policy position statement. https://www.dementia.org.au</w:t>
      </w:r>
    </w:p>
    <w:p>
      <w:pPr>
        <w:spacing w:after="100"/>
        <w:ind w:left="340" w:hanging="340"/>
      </w:pPr>
      <w:r>
        <w:rPr>
          <w:rFonts w:ascii="Arial" w:hAnsi="Arial"/>
          <w:sz w:val="19"/>
        </w:rPr>
        <w:t>4. Garner, A. et al. (2024). The impact of digital technology in care homes on unplanned secondary care usage and associated costs. Age and Ageing, 53(2), afae004. doi:10.1093/ageing/afae004</w:t>
      </w:r>
    </w:p>
    <w:p>
      <w:pPr>
        <w:spacing w:after="100"/>
        <w:ind w:left="340" w:hanging="340"/>
      </w:pPr>
      <w:r>
        <w:rPr>
          <w:rFonts w:ascii="Arial" w:hAnsi="Arial"/>
          <w:sz w:val="19"/>
        </w:rPr>
        <w:t>5. Huter, K. et al. (2020). Effectiveness of Digital Technologies to Support Nursing Care: Results of a Scoping Review. Journal of Medical Internet Research. PMC7734078.</w:t>
      </w:r>
    </w:p>
    <w:p>
      <w:pPr>
        <w:spacing w:after="100"/>
        <w:ind w:left="340" w:hanging="340"/>
      </w:pPr>
      <w:r>
        <w:rPr>
          <w:rFonts w:ascii="Arial" w:hAnsi="Arial"/>
          <w:sz w:val="19"/>
        </w:rPr>
        <w:t>6. Isomursu, M. et al. (2012). Mobile Identification: NFC in the Healthcare Sector. ResearchGate / IEEE. doi:10.13140/RG.2.1.1838.1524</w:t>
      </w:r>
    </w:p>
    <w:p>
      <w:pPr>
        <w:spacing w:after="100"/>
        <w:ind w:left="340" w:hanging="340"/>
      </w:pPr>
      <w:r>
        <w:rPr>
          <w:rFonts w:ascii="Arial" w:hAnsi="Arial"/>
          <w:sz w:val="19"/>
        </w:rPr>
        <w:t>7. Jutai, J. et al. (2024). Implementation of digital health technologies for older adults: a scoping review. Frontiers in Aging. doi:10.3389/fragi.2024.1349520</w:t>
      </w:r>
    </w:p>
    <w:p>
      <w:pPr>
        <w:spacing w:after="100"/>
        <w:ind w:left="340" w:hanging="340"/>
      </w:pPr>
      <w:r>
        <w:rPr>
          <w:rFonts w:ascii="Arial" w:hAnsi="Arial"/>
          <w:sz w:val="19"/>
        </w:rPr>
        <w:t>8. Kim, J. et al. (2021). Near-Field Communication in Biomedical Applications. MDPI Sensors. PMC7864326.</w:t>
      </w:r>
    </w:p>
    <w:p>
      <w:pPr>
        <w:spacing w:after="100"/>
        <w:ind w:left="340" w:hanging="340"/>
      </w:pPr>
      <w:r>
        <w:rPr>
          <w:rFonts w:ascii="Arial" w:hAnsi="Arial"/>
          <w:sz w:val="19"/>
        </w:rPr>
        <w:t>9. Ma, N. et al. (2022). The quality effects of agency staffing in residential aged care. Australasian Journal on Ageing. doi:10.1111/ajag.13132</w:t>
      </w:r>
    </w:p>
    <w:p>
      <w:pPr>
        <w:spacing w:after="100"/>
        <w:ind w:left="340" w:hanging="340"/>
      </w:pPr>
      <w:r>
        <w:rPr>
          <w:rFonts w:ascii="Arial" w:hAnsi="Arial"/>
          <w:sz w:val="19"/>
        </w:rPr>
        <w:t>10. Multiple authors. (2024). Delivery of Person-Centered Care for People Living With Dementia in Residential Aged Care: A Systematic Review and Meta-Analysis. The Gerontologist, 64(5). doi:10.1093/gerontologist/gnad052</w:t>
      </w:r>
    </w:p>
    <w:p>
      <w:pPr>
        <w:spacing w:after="100"/>
        <w:ind w:left="340" w:hanging="340"/>
      </w:pPr>
      <w:r>
        <w:rPr>
          <w:rFonts w:ascii="Arial" w:hAnsi="Arial"/>
          <w:sz w:val="19"/>
        </w:rPr>
        <w:t>11. Multiple authors. (2025). Communication strategies for delivering personalised dementia care and support: a mixed-methods systematic review and narrative synthesis. PMC12078768.</w:t>
      </w:r>
    </w:p>
    <w:p>
      <w:pPr>
        <w:spacing w:after="100"/>
        <w:ind w:left="340" w:hanging="340"/>
      </w:pPr>
      <w:r>
        <w:rPr>
          <w:rFonts w:ascii="Arial" w:hAnsi="Arial"/>
          <w:sz w:val="19"/>
        </w:rPr>
        <w:t>12. Pagone, T. &amp; Briggs, L. (2021). Royal Commission into Aged Care Quality and Safety Final Report: Care, Dignity and Respect. Australian Government.</w:t>
      </w:r>
    </w:p>
    <w:p>
      <w:pPr>
        <w:spacing w:after="100"/>
        <w:ind w:left="340" w:hanging="340"/>
      </w:pPr>
      <w:r>
        <w:rPr>
          <w:rFonts w:ascii="Arial" w:hAnsi="Arial"/>
          <w:sz w:val="19"/>
        </w:rPr>
        <w:t>13. Quinn, B. et al. (2017). Near field communications technology and the potential to reduce medication errors through multidisciplinary application. Annals of Medicine and Surgery. PubMed 28293602.</w:t>
      </w:r>
    </w:p>
    <w:p>
      <w:pPr>
        <w:spacing w:after="100"/>
        <w:ind w:left="340" w:hanging="340"/>
      </w:pPr>
      <w:r>
        <w:rPr>
          <w:rFonts w:ascii="Arial" w:hAnsi="Arial"/>
          <w:sz w:val="19"/>
        </w:rPr>
        <w:t>14. Tshering, G. et al. (2024). Factors impacting clinical data and documentation quality in Australian aged care and disability services: a user-centred perspective. BMC Geriatrics. doi:10.1186/s12877-024-04899-1</w:t>
      </w:r>
    </w:p>
    <w:p>
      <w:pPr>
        <w:spacing w:after="100"/>
        <w:ind w:left="340" w:hanging="340"/>
      </w:pPr>
      <w:r>
        <w:rPr>
          <w:rFonts w:ascii="Arial" w:hAnsi="Arial"/>
          <w:sz w:val="19"/>
        </w:rPr>
        <w:t>15. Victorian Department of Health. (2023). Person-centred care. Dementia-friendly environments. https://www.health.vic.gov.au/dementia-friendly-environments/person-centred-care</w:t>
      </w:r>
    </w:p>
    <w:p/>
    <w:p>
      <w:pPr>
        <w:jc w:val="center"/>
      </w:pPr>
      <w:r>
        <w:rPr>
          <w:rFonts w:ascii="Arial" w:hAnsi="Arial"/>
          <w:color w:val="969696"/>
          <w:sz w:val="16"/>
        </w:rPr>
        <w:t>Bluecare Talleyhaven — CareTag NFC System — Literature Review</w:t>
        <w:br/>
        <w:t>Lincoln Huggard RN — 10 April 2026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