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Arial" w:hAnsi="Arial"/>
          <w:b/>
          <w:i w:val="0"/>
          <w:color w:val="2E6B8A"/>
          <w:sz w:val="18"/>
        </w:rPr>
        <w:t>BLUECARE TALLEYHAVEN</w:t>
      </w:r>
    </w:p>
    <w:p>
      <w:pPr>
        <w:spacing w:after="80"/>
      </w:pPr>
      <w:r>
        <w:rPr>
          <w:rFonts w:ascii="Arial" w:hAnsi="Arial"/>
          <w:b/>
          <w:color w:val="1A3A5C"/>
          <w:sz w:val="44"/>
        </w:rPr>
        <w:t>Privacy Impact Assessment</w:t>
      </w:r>
    </w:p>
    <w:p>
      <w:pPr>
        <w:spacing w:after="120"/>
        <w:jc w:val="left"/>
      </w:pPr>
      <w:r>
        <w:rPr>
          <w:rFonts w:ascii="Arial" w:hAnsi="Arial"/>
          <w:b w:val="0"/>
          <w:i/>
          <w:color w:val="555555"/>
          <w:sz w:val="26"/>
        </w:rPr>
        <w:t>NFC Resident Profile System</w:t>
      </w:r>
    </w:p>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Prepared By</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Lincoln Huggard, Registered Nurse — Bluecare Talleyhaven</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31 March 2026</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Document Version</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1.0 — Initial Assessment</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Classification</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Internal — Compliance Review</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Legislation</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Privacy Act 1988 (Cth) — Australian Privacy Principles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Assessment Type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Privacy Impact Assessment (PIA)</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Status</w:t>
            </w:r>
          </w:p>
        </w:tc>
        <w:tc>
          <w:tcPr>
            <w:tcW w:type="dxa" w:w="4536"/>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Submitted for Compliance Review</w:t>
            </w:r>
          </w:p>
        </w:tc>
      </w:tr>
    </w:tbl>
    <w:p/>
    <w:p>
      <w:pPr>
        <w:spacing w:after="120"/>
        <w:jc w:val="left"/>
      </w:pPr>
      <w:r>
        <w:rPr>
          <w:rFonts w:ascii="Arial" w:hAnsi="Arial"/>
          <w:b w:val="0"/>
          <w:i w:val="0"/>
          <w:color w:val="3C3C3C"/>
          <w:sz w:val="20"/>
        </w:rPr>
        <w:t>This Privacy Impact Assessment (PIA) has been prepared in accordance with the Office of the Australian Information Commissioner (OAIC) PIA Guide and the requirements of the Privacy Act 1988 (Cth). It assesses the privacy implications of the NFC Resident Profile System developed for use at Bluecare Talleyhaven and makes recommendations to ensure compliance with the Australian Privacy Principles.</w:t>
      </w:r>
    </w:p>
    <w:p>
      <w:pPr>
        <w:spacing w:before="360" w:after="120"/>
        <w:pBdr>
          <w:bottom w:val="single" w:sz="6" w:space="1" w:color="1A3A5C"/>
        </w:pBdr>
      </w:pPr>
      <w:r>
        <w:rPr>
          <w:rFonts w:ascii="Arial" w:hAnsi="Arial"/>
          <w:b/>
          <w:color w:val="1A3A5C"/>
          <w:sz w:val="28"/>
        </w:rPr>
        <w:t>1. Executive Summary</w:t>
      </w:r>
    </w:p>
    <w:p>
      <w:pPr>
        <w:spacing w:after="120"/>
        <w:jc w:val="left"/>
      </w:pPr>
      <w:r>
        <w:rPr>
          <w:rFonts w:ascii="Arial" w:hAnsi="Arial"/>
          <w:b w:val="0"/>
          <w:i w:val="0"/>
          <w:sz w:val="21"/>
        </w:rPr>
        <w:t>The NFC Resident Profile System is a digital point-of-care communication tool that enables staff to access a structured summary of a resident's preferences, communication needs, and clinical flags by tapping a small NFC tag on the resident's door frame with a smartphone. The system was developed by Lincoln Huggard RN at Bluecare Talleyhaven in March 2026.</w:t>
      </w:r>
    </w:p>
    <w:p>
      <w:pPr>
        <w:spacing w:after="120"/>
        <w:jc w:val="left"/>
      </w:pPr>
      <w:r>
        <w:rPr>
          <w:rFonts w:ascii="Arial" w:hAnsi="Arial"/>
          <w:b w:val="0"/>
          <w:i w:val="0"/>
          <w:sz w:val="21"/>
        </w:rPr>
        <w:t>This PIA identifies four primary privacy considerations, all of which are addressable through documented controls. The system as designed is appropriate for the storage of preference and communication information. Clinical data is intentionally limited to high-level flags only. The principal outstanding risk — public web hosting — is recommended for resolution prior to facility-wide deployment through the implementation of authenticated access controls.</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9"/>
              </w:rPr>
              <w:t>Overall Privacy Risk (current)</w:t>
            </w:r>
          </w:p>
        </w:tc>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Medium — manageable with documented controls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9"/>
              </w:rPr>
              <w:t>Overall Privacy Risk (post-mitigation)</w:t>
            </w:r>
          </w:p>
        </w:tc>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Low — acceptable for point-of-care use</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9"/>
              </w:rPr>
              <w:t>Recommendation</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Approve for pilot with conditions — see Section 7</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9"/>
              </w:rPr>
              <w:t>Blocking Issues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None — all risks are mitigable</w:t>
            </w:r>
          </w:p>
        </w:tc>
      </w:tr>
    </w:tbl>
    <w:p>
      <w:pPr>
        <w:spacing w:before="360" w:after="120"/>
        <w:pBdr>
          <w:bottom w:val="single" w:sz="6" w:space="1" w:color="1A3A5C"/>
        </w:pBdr>
      </w:pPr>
      <w:r>
        <w:rPr>
          <w:rFonts w:ascii="Arial" w:hAnsi="Arial"/>
          <w:b/>
          <w:color w:val="1A3A5C"/>
          <w:sz w:val="28"/>
        </w:rPr>
        <w:t>2. System Description</w:t>
      </w:r>
    </w:p>
    <w:p>
      <w:pPr>
        <w:spacing w:before="240" w:after="80"/>
      </w:pPr>
      <w:r>
        <w:rPr>
          <w:rFonts w:ascii="Arial" w:hAnsi="Arial"/>
          <w:b/>
          <w:color w:val="2E6B8A"/>
          <w:sz w:val="23"/>
        </w:rPr>
        <w:t>2.1 Purpose</w:t>
      </w:r>
    </w:p>
    <w:p>
      <w:pPr>
        <w:spacing w:after="120"/>
        <w:jc w:val="left"/>
      </w:pPr>
      <w:r>
        <w:rPr>
          <w:rFonts w:ascii="Arial" w:hAnsi="Arial"/>
          <w:b w:val="0"/>
          <w:i w:val="0"/>
          <w:sz w:val="21"/>
        </w:rPr>
        <w:t>The system addresses a documented care quality gap: agency staff, casual staff, and visiting clinicians frequently care for residents they have not met, without ready access to that resident's communication preferences, known triggers, or clinical risk flags. The NFC Resident Profile System provides this information at the point of care — before the staff member enters the resident's room — without requiring login to a clinical information system.</w:t>
      </w:r>
    </w:p>
    <w:p>
      <w:pPr>
        <w:spacing w:before="240" w:after="80"/>
      </w:pPr>
      <w:r>
        <w:rPr>
          <w:rFonts w:ascii="Arial" w:hAnsi="Arial"/>
          <w:b/>
          <w:color w:val="2E6B8A"/>
          <w:sz w:val="23"/>
        </w:rPr>
        <w:t>2.2 How Information is Accessed</w:t>
      </w:r>
    </w:p>
    <w:p>
      <w:pPr>
        <w:pStyle w:val="ListBullet"/>
        <w:spacing w:after="60"/>
        <w:ind w:left="283"/>
      </w:pPr>
      <w:r>
        <w:rPr>
          <w:rFonts w:ascii="Arial" w:hAnsi="Arial"/>
          <w:sz w:val="21"/>
        </w:rPr>
        <w:t>A small NFC sticker tag is mounted on each resident's door frame</w:t>
      </w:r>
    </w:p>
    <w:p>
      <w:pPr>
        <w:pStyle w:val="ListBullet"/>
        <w:spacing w:after="60"/>
        <w:ind w:left="283"/>
      </w:pPr>
      <w:r>
        <w:rPr>
          <w:rFonts w:ascii="Arial" w:hAnsi="Arial"/>
          <w:sz w:val="21"/>
        </w:rPr>
        <w:t>Staff tap the tag with a smartphone — no app required, works on any modern iPhone or Android</w:t>
      </w:r>
    </w:p>
    <w:p>
      <w:pPr>
        <w:pStyle w:val="ListBullet"/>
        <w:spacing w:after="60"/>
        <w:ind w:left="283"/>
      </w:pPr>
      <w:r>
        <w:rPr>
          <w:rFonts w:ascii="Arial" w:hAnsi="Arial"/>
          <w:sz w:val="21"/>
        </w:rPr>
        <w:t>A PIN-protected profile page opens in the phone's browser</w:t>
      </w:r>
    </w:p>
    <w:p>
      <w:pPr>
        <w:pStyle w:val="ListBullet"/>
        <w:spacing w:after="60"/>
        <w:ind w:left="283"/>
      </w:pPr>
      <w:r>
        <w:rPr>
          <w:rFonts w:ascii="Arial" w:hAnsi="Arial"/>
          <w:sz w:val="21"/>
        </w:rPr>
        <w:t>Staff enter the shared facility PIN (session-based — expires when browser closes)</w:t>
      </w:r>
    </w:p>
    <w:p>
      <w:pPr>
        <w:pStyle w:val="ListBullet"/>
        <w:spacing w:after="60"/>
        <w:ind w:left="283"/>
      </w:pPr>
      <w:r>
        <w:rPr>
          <w:rFonts w:ascii="Arial" w:hAnsi="Arial"/>
          <w:sz w:val="21"/>
        </w:rPr>
        <w:t>The profile displays structured preference and clinical flag information</w:t>
      </w:r>
    </w:p>
    <w:p>
      <w:pPr>
        <w:spacing w:before="240" w:after="80"/>
      </w:pPr>
      <w:r>
        <w:rPr>
          <w:rFonts w:ascii="Arial" w:hAnsi="Arial"/>
          <w:b/>
          <w:color w:val="2E6B8A"/>
          <w:sz w:val="23"/>
        </w:rPr>
        <w:t>2.3 Information Held in the System</w:t>
      </w:r>
    </w:p>
    <w:p>
      <w:pPr>
        <w:spacing w:after="120"/>
        <w:jc w:val="left"/>
      </w:pPr>
      <w:r>
        <w:rPr>
          <w:rFonts w:ascii="Arial" w:hAnsi="Arial"/>
          <w:b w:val="0"/>
          <w:i w:val="0"/>
          <w:sz w:val="21"/>
        </w:rPr>
        <w:t>The following categories of information are stored. Note what is explicitly excluded.</w:t>
      </w:r>
    </w:p>
    <w:tbl>
      <w:tblPr>
        <w:tblW w:type="auto" w:w="0"/>
        <w:jc w:val="left"/>
        <w:tblLook w:firstColumn="1" w:firstRow="1" w:lastColumn="0" w:lastRow="0" w:noHBand="0" w:noVBand="1" w:val="04A0"/>
      </w:tblPr>
      <w:tblGrid>
        <w:gridCol w:w="2835"/>
        <w:gridCol w:w="3969"/>
        <w:gridCol w:w="2551"/>
      </w:tblGrid>
      <w:tr>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Category</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Examples</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Included?</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Preference &amp; Communication</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Preferred name, communication style, hearing/vision aids, routine preferences, behavioural triggers, de-escalation approaches</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9"/>
              </w:rPr>
              <w:t>✓ Included</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High-Level Clinical Flags</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Falls risk HIGH, Waterlow HIGH, Allergy Alert, Pressure Injury, Dementia, Diabetes, NFR status, Restrictive Practice type</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9"/>
              </w:rPr>
              <w:t>✓ Included (flags only — no detail)</w:t>
            </w:r>
          </w:p>
        </w:tc>
      </w:tr>
      <w:tr>
        <w:tc>
          <w:tcPr>
            <w:tcW w:type="dxa" w:w="2835"/>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Care Aids &amp; Equipment</w:t>
            </w:r>
          </w:p>
        </w:tc>
        <w:tc>
          <w:tcPr>
            <w:tcW w:type="dxa" w:w="3969"/>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Hearing aids, glasses, dentures, CPAP, leg/hip protectors, special creams, grooming preferences</w:t>
            </w:r>
          </w:p>
        </w:tc>
        <w:tc>
          <w:tcPr>
            <w:tcW w:type="dxa" w:w="2551"/>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9"/>
              </w:rPr>
              <w:t>✓ Included</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Full Clinical Diagnoses</w:t>
            </w:r>
          </w:p>
        </w:tc>
        <w:tc>
          <w:tcPr>
            <w:tcW w:type="dxa" w:w="3969"/>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Diagnosis list, medical history, clinical notes</w:t>
            </w:r>
          </w:p>
        </w:tc>
        <w:tc>
          <w:tcPr>
            <w:tcW w:type="dxa" w:w="2551"/>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8A2E2E"/>
                <w:sz w:val="19"/>
              </w:rPr>
              <w:t>✗ Excluded</w:t>
            </w:r>
          </w:p>
        </w:tc>
      </w:tr>
      <w:tr>
        <w:tc>
          <w:tcPr>
            <w:tcW w:type="dxa" w:w="2835"/>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Medication Information</w:t>
            </w:r>
          </w:p>
        </w:tc>
        <w:tc>
          <w:tcPr>
            <w:tcW w:type="dxa" w:w="3969"/>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Medication chart, drug orders, doses</w:t>
            </w:r>
          </w:p>
        </w:tc>
        <w:tc>
          <w:tcPr>
            <w:tcW w:type="dxa" w:w="2551"/>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8A2E2E"/>
                <w:sz w:val="19"/>
              </w:rPr>
              <w:t>✗ Excluded</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Personal Identifiers</w:t>
            </w:r>
          </w:p>
        </w:tc>
        <w:tc>
          <w:tcPr>
            <w:tcW w:type="dxa" w:w="3969"/>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Date of birth, Medicare number, address</w:t>
            </w:r>
          </w:p>
        </w:tc>
        <w:tc>
          <w:tcPr>
            <w:tcW w:type="dxa" w:w="2551"/>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8A2E2E"/>
                <w:sz w:val="19"/>
              </w:rPr>
              <w:t>✗ Excluded</w:t>
            </w:r>
          </w:p>
        </w:tc>
      </w:tr>
      <w:tr>
        <w:tc>
          <w:tcPr>
            <w:tcW w:type="dxa" w:w="2835"/>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Photographs</w:t>
            </w:r>
          </w:p>
        </w:tc>
        <w:tc>
          <w:tcPr>
            <w:tcW w:type="dxa" w:w="3969"/>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Resident images</w:t>
            </w:r>
          </w:p>
        </w:tc>
        <w:tc>
          <w:tcPr>
            <w:tcW w:type="dxa" w:w="2551"/>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8A2E2E"/>
                <w:sz w:val="19"/>
              </w:rPr>
              <w:t>✗ Excluded</w:t>
            </w:r>
          </w:p>
        </w:tc>
      </w:tr>
      <w:tr>
        <w:tc>
          <w:tcPr>
            <w:tcW w:type="dxa" w:w="2835"/>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Financial Information</w:t>
            </w:r>
          </w:p>
        </w:tc>
        <w:tc>
          <w:tcPr>
            <w:tcW w:type="dxa" w:w="3969"/>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Any financial or payment data</w:t>
            </w:r>
          </w:p>
        </w:tc>
        <w:tc>
          <w:tcPr>
            <w:tcW w:type="dxa" w:w="2551"/>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8A2E2E"/>
                <w:sz w:val="19"/>
              </w:rPr>
              <w:t>✗ Excluded</w:t>
            </w:r>
          </w:p>
        </w:tc>
      </w:tr>
    </w:tbl>
    <w:p/>
    <w:p>
      <w:pPr>
        <w:spacing w:before="240" w:after="80"/>
      </w:pPr>
      <w:r>
        <w:rPr>
          <w:rFonts w:ascii="Arial" w:hAnsi="Arial"/>
          <w:b/>
          <w:color w:val="2E6B8A"/>
          <w:sz w:val="23"/>
        </w:rPr>
        <w:t>2.4 Technical Architecture</w:t>
      </w:r>
    </w:p>
    <w:p>
      <w:pPr>
        <w:pStyle w:val="ListBullet"/>
        <w:spacing w:after="60"/>
        <w:ind w:left="283"/>
      </w:pPr>
      <w:r>
        <w:rPr>
          <w:rFonts w:ascii="Arial" w:hAnsi="Arial"/>
          <w:b/>
          <w:sz w:val="21"/>
        </w:rPr>
        <w:t xml:space="preserve">Hosting: </w:t>
      </w:r>
      <w:r>
        <w:rPr>
          <w:rFonts w:ascii="Arial" w:hAnsi="Arial"/>
          <w:sz w:val="21"/>
        </w:rPr>
        <w:t>GitHub Pages (current pilot) — public repository with non-indexed URLs. Recommended upgrade: Cloudflare Access authentication layer</w:t>
      </w:r>
    </w:p>
    <w:p>
      <w:pPr>
        <w:pStyle w:val="ListBullet"/>
        <w:spacing w:after="60"/>
        <w:ind w:left="283"/>
      </w:pPr>
      <w:r>
        <w:rPr>
          <w:rFonts w:ascii="Arial" w:hAnsi="Arial"/>
          <w:b/>
          <w:sz w:val="21"/>
        </w:rPr>
        <w:t xml:space="preserve">Data storage: </w:t>
      </w:r>
      <w:r>
        <w:rPr>
          <w:rFonts w:ascii="Arial" w:hAnsi="Arial"/>
          <w:sz w:val="21"/>
        </w:rPr>
        <w:t>HTML files containing embedded JSON data block — no centralised database</w:t>
      </w:r>
    </w:p>
    <w:p>
      <w:pPr>
        <w:pStyle w:val="ListBullet"/>
        <w:spacing w:after="60"/>
        <w:ind w:left="283"/>
      </w:pPr>
      <w:r>
        <w:rPr>
          <w:rFonts w:ascii="Arial" w:hAnsi="Arial"/>
          <w:b/>
          <w:sz w:val="21"/>
        </w:rPr>
        <w:t xml:space="preserve">Access control: </w:t>
      </w:r>
      <w:r>
        <w:rPr>
          <w:rFonts w:ascii="Arial" w:hAnsi="Arial"/>
          <w:sz w:val="21"/>
        </w:rPr>
        <w:t>Shared PIN — session-based sessionStorage, expires on browser close</w:t>
      </w:r>
    </w:p>
    <w:p>
      <w:pPr>
        <w:pStyle w:val="ListBullet"/>
        <w:spacing w:after="60"/>
        <w:ind w:left="283"/>
      </w:pPr>
      <w:r>
        <w:rPr>
          <w:rFonts w:ascii="Arial" w:hAnsi="Arial"/>
          <w:b/>
          <w:sz w:val="21"/>
        </w:rPr>
        <w:t xml:space="preserve">Data in transit: </w:t>
      </w:r>
      <w:r>
        <w:rPr>
          <w:rFonts w:ascii="Arial" w:hAnsi="Arial"/>
          <w:sz w:val="21"/>
        </w:rPr>
        <w:t>HTTPS — all connections encrypted via TLS</w:t>
      </w:r>
    </w:p>
    <w:p>
      <w:pPr>
        <w:pStyle w:val="ListBullet"/>
        <w:spacing w:after="60"/>
        <w:ind w:left="283"/>
      </w:pPr>
      <w:r>
        <w:rPr>
          <w:rFonts w:ascii="Arial" w:hAnsi="Arial"/>
          <w:b/>
          <w:sz w:val="21"/>
        </w:rPr>
        <w:t xml:space="preserve">Editor tool: </w:t>
      </w:r>
      <w:r>
        <w:rPr>
          <w:rFonts w:ascii="Arial" w:hAnsi="Arial"/>
          <w:sz w:val="21"/>
        </w:rPr>
        <w:t>Standalone HTML file — runs locally in browser, communicates with GitHub API via HTTPS</w:t>
      </w:r>
    </w:p>
    <w:p>
      <w:pPr>
        <w:pStyle w:val="ListBullet"/>
        <w:spacing w:after="60"/>
        <w:ind w:left="283"/>
      </w:pPr>
      <w:r>
        <w:rPr>
          <w:rFonts w:ascii="Arial" w:hAnsi="Arial"/>
          <w:b/>
          <w:sz w:val="21"/>
        </w:rPr>
        <w:t xml:space="preserve">Analytics: </w:t>
      </w:r>
      <w:r>
        <w:rPr>
          <w:rFonts w:ascii="Arial" w:hAnsi="Arial"/>
          <w:sz w:val="21"/>
        </w:rPr>
        <w:t>Google Analytics (GA4) — records page view events with ward, room, and tap type only</w:t>
      </w:r>
    </w:p>
    <w:p>
      <w:pPr>
        <w:spacing w:before="360" w:after="120"/>
        <w:pBdr>
          <w:bottom w:val="single" w:sz="6" w:space="1" w:color="1A3A5C"/>
        </w:pBdr>
      </w:pPr>
      <w:r>
        <w:rPr>
          <w:rFonts w:ascii="Arial" w:hAnsi="Arial"/>
          <w:b/>
          <w:color w:val="1A3A5C"/>
          <w:sz w:val="28"/>
        </w:rPr>
        <w:t>3. Legislative and Regulatory Framework</w:t>
      </w:r>
    </w:p>
    <w:p>
      <w:pPr>
        <w:spacing w:before="240" w:after="80"/>
      </w:pPr>
      <w:r>
        <w:rPr>
          <w:rFonts w:ascii="Arial" w:hAnsi="Arial"/>
          <w:b/>
          <w:color w:val="2E6B8A"/>
          <w:sz w:val="23"/>
        </w:rPr>
        <w:t>3.1 Applicable Legislation</w:t>
      </w:r>
    </w:p>
    <w:p>
      <w:pPr>
        <w:pStyle w:val="ListBullet"/>
        <w:spacing w:after="60"/>
        <w:ind w:left="283"/>
      </w:pPr>
      <w:r>
        <w:rPr>
          <w:rFonts w:ascii="Arial" w:hAnsi="Arial"/>
          <w:sz w:val="21"/>
        </w:rPr>
        <w:t>Privacy Act 1988 (Cth) — primary legislation governing the collection, use, and disclosure of personal information</w:t>
      </w:r>
    </w:p>
    <w:p>
      <w:pPr>
        <w:pStyle w:val="ListBullet"/>
        <w:spacing w:after="60"/>
        <w:ind w:left="283"/>
      </w:pPr>
      <w:r>
        <w:rPr>
          <w:rFonts w:ascii="Arial" w:hAnsi="Arial"/>
          <w:sz w:val="21"/>
        </w:rPr>
        <w:t>Australian Privacy Principles (APPs) — 13 principles under the Privacy Act applicable to organisations with turnover exceeding $3M (Bluecare/UnitingCare exceeds this threshold)</w:t>
      </w:r>
    </w:p>
    <w:p>
      <w:pPr>
        <w:pStyle w:val="ListBullet"/>
        <w:spacing w:after="60"/>
        <w:ind w:left="283"/>
      </w:pPr>
      <w:r>
        <w:rPr>
          <w:rFonts w:ascii="Arial" w:hAnsi="Arial"/>
          <w:sz w:val="21"/>
        </w:rPr>
        <w:t>Aged Care Act 1997 (Cth) — general obligations regarding resident dignity, safety, and information management</w:t>
      </w:r>
    </w:p>
    <w:p>
      <w:pPr>
        <w:pStyle w:val="ListBullet"/>
        <w:spacing w:after="60"/>
        <w:ind w:left="283"/>
      </w:pPr>
      <w:r>
        <w:rPr>
          <w:rFonts w:ascii="Arial" w:hAnsi="Arial"/>
          <w:sz w:val="21"/>
        </w:rPr>
        <w:t>My Health Records Act 2018 (Cth) — not directly applicable as this system does not interact with My Health Records</w:t>
      </w:r>
    </w:p>
    <w:p>
      <w:pPr>
        <w:pStyle w:val="ListBullet"/>
        <w:spacing w:after="60"/>
        <w:ind w:left="283"/>
      </w:pPr>
      <w:r>
        <w:rPr>
          <w:rFonts w:ascii="Arial" w:hAnsi="Arial"/>
          <w:sz w:val="21"/>
        </w:rPr>
        <w:t>Health Records and Information Privacy Act 2002 (NSW) — not applicable (Queensland jurisdiction)</w:t>
      </w:r>
    </w:p>
    <w:p>
      <w:pPr>
        <w:spacing w:before="240" w:after="80"/>
      </w:pPr>
      <w:r>
        <w:rPr>
          <w:rFonts w:ascii="Arial" w:hAnsi="Arial"/>
          <w:b/>
          <w:color w:val="2E6B8A"/>
          <w:sz w:val="23"/>
        </w:rPr>
        <w:t>3.2 Relevant Aged Care Quality Standards</w:t>
      </w:r>
    </w:p>
    <w:p>
      <w:pPr>
        <w:pStyle w:val="ListBullet"/>
        <w:spacing w:after="60"/>
        <w:ind w:left="283"/>
      </w:pPr>
      <w:r>
        <w:rPr>
          <w:rFonts w:ascii="Arial" w:hAnsi="Arial"/>
          <w:sz w:val="21"/>
        </w:rPr>
        <w:t>Standard 1 — Consumer Dignity and Choice: system directly supports person-centred care</w:t>
      </w:r>
    </w:p>
    <w:p>
      <w:pPr>
        <w:pStyle w:val="ListBullet"/>
        <w:spacing w:after="60"/>
        <w:ind w:left="283"/>
      </w:pPr>
      <w:r>
        <w:rPr>
          <w:rFonts w:ascii="Arial" w:hAnsi="Arial"/>
          <w:sz w:val="21"/>
        </w:rPr>
        <w:t>Standard 2 — Ongoing Assessment and Planning: profiles must remain synchronised with the formal care plan</w:t>
      </w:r>
    </w:p>
    <w:p>
      <w:pPr>
        <w:pStyle w:val="ListBullet"/>
        <w:spacing w:after="60"/>
        <w:ind w:left="283"/>
      </w:pPr>
      <w:r>
        <w:rPr>
          <w:rFonts w:ascii="Arial" w:hAnsi="Arial"/>
          <w:sz w:val="21"/>
        </w:rPr>
        <w:t>Standard 3 — Personal Care and Clinical Care: clinical flags must reflect current assessed risk</w:t>
      </w:r>
    </w:p>
    <w:p>
      <w:pPr>
        <w:pStyle w:val="ListBullet"/>
        <w:spacing w:after="60"/>
        <w:ind w:left="283"/>
      </w:pPr>
      <w:r>
        <w:rPr>
          <w:rFonts w:ascii="Arial" w:hAnsi="Arial"/>
          <w:sz w:val="21"/>
        </w:rPr>
        <w:t>Standard 8 — Organisational Governance: system requires formal governance documentation and IT registration</w:t>
      </w:r>
    </w:p>
    <w:p>
      <w:pPr>
        <w:spacing w:before="360" w:after="120"/>
        <w:pBdr>
          <w:bottom w:val="single" w:sz="6" w:space="1" w:color="1A3A5C"/>
        </w:pBdr>
      </w:pPr>
      <w:r>
        <w:rPr>
          <w:rFonts w:ascii="Arial" w:hAnsi="Arial"/>
          <w:b/>
          <w:color w:val="1A3A5C"/>
          <w:sz w:val="28"/>
        </w:rPr>
        <w:t>4. Australian Privacy Principles Assessment</w:t>
      </w:r>
    </w:p>
    <w:p>
      <w:pPr>
        <w:spacing w:after="120"/>
        <w:jc w:val="left"/>
      </w:pPr>
      <w:r>
        <w:rPr>
          <w:rFonts w:ascii="Arial" w:hAnsi="Arial"/>
          <w:b w:val="0"/>
          <w:i w:val="0"/>
          <w:sz w:val="21"/>
        </w:rPr>
        <w:t>The following assessment addresses each relevant APP. APPs not assessed are not applicable to this system (e.g. APP 7 — Direct Marketing, APP 8 — Cross-border Disclosure).</w:t>
      </w:r>
    </w:p>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1</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Open and Transparent Management of Personal Information</w:t>
            </w:r>
          </w:p>
        </w:tc>
      </w:tr>
      <w:tr>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7A4F00"/>
                <w:sz w:val="18"/>
              </w:rPr>
              <w:t>Conditional</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Bluecare maintains a privacy policy under APP 1. The NFC Resident Profile System requires formal documentation within that policy framework as a point-of-care communication tool. Residents and families should be informed of the system through the facility's existing admission and consent process.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Add NFC Resident Profile System to Bluecare's privacy policy documentation. Include brief description in resident admission information. No structural changes to the system required.</w:t>
            </w:r>
          </w:p>
        </w:tc>
      </w:tr>
    </w:tbl>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3</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Collection of Solicited Personal Information</w:t>
            </w:r>
          </w:p>
        </w:tc>
      </w:tr>
      <w:tr>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8"/>
              </w:rPr>
              <w:t>Compliant</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Information in profiles is sourced from existing care plans and resident/family input — it is not newly collected. The system repurposes already-collected information for care delivery purposes, which is consistent with the original collection purpose.</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No action required. Document in privacy policy that profile information is sourced from existing care planning records.</w:t>
            </w:r>
          </w:p>
        </w:tc>
      </w:tr>
    </w:tbl>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5</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Notification of Collection</w:t>
            </w:r>
          </w:p>
        </w:tc>
      </w:tr>
      <w:tr>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7A4F00"/>
                <w:sz w:val="18"/>
              </w:rPr>
              <w:t>Conditional</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Residents and families are notified of information collection at admission. The NFC system uses existing information and does not constitute new collection. However, residents and families should be made aware that a digital communication tool is in use.</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Include brief reference to the NFC profile system in the facility's admission information pack. Provide opt-out option for residents who do not wish to have a profile created.</w:t>
            </w:r>
          </w:p>
        </w:tc>
      </w:tr>
    </w:tbl>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6</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Use or Disclosure of Personal Information</w:t>
            </w:r>
          </w:p>
        </w:tc>
      </w:tr>
      <w:tr>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8"/>
              </w:rPr>
              <w:t>Compliant</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Information is used for direct care delivery — the same purpose for which it was collected. Profiles are not shared externally or used for any secondary purpose. Google Analytics collects only event metadata (ward, room, tap type) with no personal identifiers.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Document that profile information is used solely for point-of-care communication. Confirm Google Analytics data collection in privacy documentation.</w:t>
            </w:r>
          </w:p>
        </w:tc>
      </w:tr>
    </w:tbl>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11</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Security of Personal Information</w:t>
            </w:r>
          </w:p>
        </w:tc>
      </w:tr>
      <w:tr>
        <w:tc>
          <w:tcPr>
            <w:tcW w:type="dxa" w:w="4536"/>
            <w:shd w:val="clear" w:color="auto" w:fill="FDF5E6"/>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7A4F00"/>
                <w:sz w:val="18"/>
              </w:rPr>
              <w:t>Conditional</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This is the primary area requiring attention. The current implementation uses public GitHub Pages hosting — profile URLs are not indexed but are technically accessible to anyone with the URL. The shared PIN provides deterrence but not authenticated access control. Data in transit is encrypted via HTTPS.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1. Implement authenticated access via Cloudflare Access (recommended) or equivalent — restricts profile access to verified staff only. 2. Document that no sensitive clinical information (diagnoses, medications) is stored. 3. Establish a process for deactivating profiles when residents leave or pass away. 4. Establish token rotation schedule for GitHub API credentials.</w:t>
            </w:r>
          </w:p>
        </w:tc>
      </w:tr>
    </w:tbl>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12</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Access to Personal Information</w:t>
            </w:r>
          </w:p>
        </w:tc>
      </w:tr>
      <w:tr>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8"/>
              </w:rPr>
              <w:t>Compliant</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Residents have a right to access information held about them. Profile content is sourced from the formal care plan which already has an established access mechanism. Profiles do not hold any information not also present in the care management system.</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Resident access requests should be handled via the existing care management system process. Document that NFC profiles are a subset of the formal care plan.</w:t>
            </w:r>
          </w:p>
        </w:tc>
      </w:tr>
    </w:tbl>
    <w:p/>
    <w:tbl>
      <w:tblPr>
        <w:tblW w:type="auto" w:w="0"/>
        <w:jc w:val="left"/>
        <w:tblLook w:firstColumn="1" w:firstRow="1" w:lastColumn="0" w:lastRow="0" w:noHBand="0" w:noVBand="1" w:val="04A0"/>
      </w:tblPr>
      <w:tblGrid>
        <w:gridCol w:w="2268"/>
        <w:gridCol w:w="7087"/>
      </w:tblGrid>
      <w:tr>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APP 13</w:t>
            </w:r>
          </w:p>
        </w:tc>
        <w:tc>
          <w:tcPr>
            <w:tcW w:type="dxa" w:w="4536"/>
            <w:shd w:val="clear" w:color="auto" w:fill="2E6B8A"/>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20"/>
              </w:rPr>
              <w:t>Correction of Personal Information</w:t>
            </w:r>
          </w:p>
        </w:tc>
      </w:tr>
      <w:tr>
        <w:tc>
          <w:tcPr>
            <w:tcW w:type="dxa" w:w="4536"/>
            <w:shd w:val="clear" w:color="auto" w:fill="EEF3ED"/>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2D5A27"/>
                <w:sz w:val="18"/>
              </w:rPr>
              <w:t>Compliant</w:t>
            </w:r>
          </w:p>
        </w:tc>
        <w:tc>
          <w:tcPr>
            <w:tcW w:type="dxa" w:w="4536"/>
            <w:tcBorders>
              <w:top w:val="single" w:sz="4" w:space="0" w:color="D0D7DE"/>
              <w:left w:val="single" w:sz="4" w:space="0" w:color="D0D7DE"/>
              <w:bottom w:val="single" w:sz="4" w:space="0" w:color="D0D7DE"/>
              <w:right w:val="single" w:sz="4" w:space="0" w:color="D0D7DE"/>
            </w:tcBorders>
            <w:shd w:val="clear" w:color="auto" w:fill="FAFAFA"/>
          </w:tcPr>
          <w:p>
            <w:pPr>
              <w:spacing w:before="60" w:after="60"/>
              <w:ind w:left="113"/>
              <w:jc w:val="left"/>
            </w:pPr>
            <w:r>
              <w:rPr>
                <w:rFonts w:ascii="Arial" w:hAnsi="Arial"/>
                <w:b w:val="0"/>
                <w:i w:val="0"/>
                <w:sz w:val="19"/>
              </w:rPr>
              <w:t>Profile information can be updated at any time by authorised senior staff using the profile editor tool. The Last Updated timestamp on every profile makes the currency of information visible to all users.</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Actions</w:t>
            </w:r>
          </w:p>
        </w:tc>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Establish and document a profile update protocol tied to the care plan review cycle. Designate a responsible person per ward for profile maintenance.</w:t>
            </w:r>
          </w:p>
        </w:tc>
      </w:tr>
    </w:tbl>
    <w:p/>
    <w:p>
      <w:pPr>
        <w:spacing w:before="360" w:after="120"/>
        <w:pBdr>
          <w:bottom w:val="single" w:sz="6" w:space="1" w:color="1A3A5C"/>
        </w:pBdr>
      </w:pPr>
      <w:r>
        <w:rPr>
          <w:rFonts w:ascii="Arial" w:hAnsi="Arial"/>
          <w:b/>
          <w:color w:val="1A3A5C"/>
          <w:sz w:val="28"/>
        </w:rPr>
        <w:t>5. Privacy Risk Assessment</w:t>
      </w:r>
    </w:p>
    <w:p>
      <w:pPr>
        <w:spacing w:after="120"/>
        <w:jc w:val="left"/>
      </w:pPr>
      <w:r>
        <w:rPr>
          <w:rFonts w:ascii="Arial" w:hAnsi="Arial"/>
          <w:b w:val="0"/>
          <w:i w:val="0"/>
          <w:sz w:val="21"/>
        </w:rPr>
        <w:t>Likelihood and Impact rated: Low / Medium / High. Rating = combined assessment.</w:t>
      </w:r>
    </w:p>
    <w:p/>
    <w:tbl>
      <w:tblPr>
        <w:tblW w:type="auto" w:w="0"/>
        <w:jc w:val="left"/>
        <w:tblLook w:firstColumn="1" w:firstRow="1" w:lastColumn="0" w:lastRow="0" w:noHBand="0" w:noVBand="1" w:val="04A0"/>
      </w:tblPr>
      <w:tblGrid>
        <w:gridCol w:w="2154"/>
        <w:gridCol w:w="1020"/>
        <w:gridCol w:w="1020"/>
        <w:gridCol w:w="907"/>
        <w:gridCol w:w="2835"/>
        <w:gridCol w:w="1020"/>
      </w:tblGrid>
      <w:tr>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Privacy Risk</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Likelihood</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Impact</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Rating</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Mitigation Measure</w:t>
            </w:r>
          </w:p>
        </w:tc>
        <w:tc>
          <w:tcPr>
            <w:tcW w:type="dxa" w:w="1512"/>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Residual</w:t>
            </w: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Unauthorised access to resident profiles via public URL</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High</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center"/>
            </w:pPr>
            <w:r>
              <w:rPr>
                <w:rFonts w:ascii="Arial" w:hAnsi="Arial"/>
                <w:b/>
                <w:i w:val="0"/>
                <w:color w:val="7A4F00"/>
                <w:sz w:val="18"/>
              </w:rPr>
              <w:t>Medium</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URLs are not indexed or publicly listed. PIN lock screen deters casual access. Recommended: implement Cloudflare Access for authenticated access.</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Profile content becomes outdated — stale clinical flags cause harm</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Medium</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High</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center"/>
            </w:pPr>
            <w:r>
              <w:rPr>
                <w:rFonts w:ascii="Arial" w:hAnsi="Arial"/>
                <w:b/>
                <w:i w:val="0"/>
                <w:color w:val="7A4F00"/>
                <w:sz w:val="18"/>
              </w:rPr>
              <w:t>Medium</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Last Updated timestamp visible on all profiles. Update protocol to be tied to care plan review cycle. Designated ward-level profile maintainer.</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GitHub API token compromised — unauthorised profile modification</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Medium</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Token has repo scope only. Token rotation schedule established. Editor file access restricted to senior staff only.</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Profile created for resident without consent</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Medium</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Admission process updated to include NFC profile notification. Opt-out option available. No profiles created without care plan as source.</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Resident photograph accidentally included</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High</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center"/>
            </w:pPr>
            <w:r>
              <w:rPr>
                <w:rFonts w:ascii="Arial" w:hAnsi="Arial"/>
                <w:b/>
                <w:i w:val="0"/>
                <w:color w:val="7A4F00"/>
                <w:sz w:val="18"/>
              </w:rPr>
              <w:t>Medium</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System design explicitly excludes photograph fields. Profile editor has no image upload functionality.</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Google Analytics data linked to individual residents</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GA collects ward/room/tap-type only — no resident names or identifiers. GA data cannot be linked to an individual.</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Profile not deactivated when resident leaves or passes away</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Medium</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Medium</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center"/>
            </w:pPr>
            <w:r>
              <w:rPr>
                <w:rFonts w:ascii="Arial" w:hAnsi="Arial"/>
                <w:b/>
                <w:i w:val="0"/>
                <w:color w:val="7A4F00"/>
                <w:sz w:val="18"/>
              </w:rPr>
              <w:t>Medium</w:t>
            </w:r>
          </w:p>
        </w:tc>
        <w:tc>
          <w:tcPr>
            <w:tcW w:type="dxa" w:w="1512"/>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Establish offboarding checklist that includes profile deactivation. NFC tag removal on room reassignment removes access point.</w:t>
            </w:r>
          </w:p>
        </w:tc>
        <w:tc>
          <w:tcPr>
            <w:tcW w:type="dxa" w:w="1512"/>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r>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Data breach — profiles accessed by external party</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Low</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High</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center"/>
            </w:pPr>
            <w:r>
              <w:rPr>
                <w:rFonts w:ascii="Arial" w:hAnsi="Arial"/>
                <w:b/>
                <w:i w:val="0"/>
                <w:color w:val="7A4F00"/>
                <w:sz w:val="18"/>
              </w:rPr>
              <w:t>Medium</w:t>
            </w:r>
          </w:p>
        </w:tc>
        <w:tc>
          <w:tcPr>
            <w:tcW w:type="dxa" w:w="1512"/>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No sensitive clinical data (medications, diagnoses) stored. Cloudflare Access implementation would substantially reduce this risk.</w:t>
            </w:r>
          </w:p>
        </w:tc>
        <w:tc>
          <w:tcPr>
            <w:tcW w:type="dxa" w:w="1512"/>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center"/>
            </w:pPr>
            <w:r>
              <w:rPr>
                <w:rFonts w:ascii="Arial" w:hAnsi="Arial"/>
                <w:b/>
                <w:i w:val="0"/>
                <w:color w:val="2D5A27"/>
                <w:sz w:val="18"/>
              </w:rPr>
              <w:t>Low</w:t>
            </w:r>
          </w:p>
        </w:tc>
      </w:tr>
    </w:tbl>
    <w:p/>
    <w:p>
      <w:pPr>
        <w:spacing w:before="360" w:after="120"/>
        <w:pBdr>
          <w:bottom w:val="single" w:sz="6" w:space="1" w:color="1A3A5C"/>
        </w:pBdr>
      </w:pPr>
      <w:r>
        <w:rPr>
          <w:rFonts w:ascii="Arial" w:hAnsi="Arial"/>
          <w:b/>
          <w:color w:val="1A3A5C"/>
          <w:sz w:val="28"/>
        </w:rPr>
        <w:t>6. Security Controls Summary</w:t>
      </w:r>
    </w:p>
    <w:tbl>
      <w:tblPr>
        <w:tblW w:type="auto" w:w="0"/>
        <w:jc w:val="left"/>
        <w:tblLook w:firstColumn="1" w:firstRow="1" w:lastColumn="0" w:lastRow="0" w:noHBand="0" w:noVBand="1" w:val="04A0"/>
      </w:tblPr>
      <w:tblGrid>
        <w:gridCol w:w="3118"/>
        <w:gridCol w:w="2268"/>
        <w:gridCol w:w="3969"/>
      </w:tblGrid>
      <w:tr>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Control</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Status</w:t>
            </w:r>
          </w:p>
        </w:tc>
        <w:tc>
          <w:tcPr>
            <w:tcW w:type="dxa" w:w="3024"/>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Detail</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HTTPS encryption</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left"/>
            </w:pPr>
            <w:r>
              <w:rPr>
                <w:rFonts w:ascii="Arial" w:hAnsi="Arial"/>
                <w:b/>
                <w:i w:val="0"/>
                <w:color w:val="2D5A27"/>
                <w:sz w:val="18"/>
              </w:rPr>
              <w:t>In place</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All connections encrypted via TLS — GitHub Pages and Cloudflare both enforce HTTPS</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PIN access control</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left"/>
            </w:pPr>
            <w:r>
              <w:rPr>
                <w:rFonts w:ascii="Arial" w:hAnsi="Arial"/>
                <w:b/>
                <w:i w:val="0"/>
                <w:color w:val="2D5A27"/>
                <w:sz w:val="18"/>
              </w:rPr>
              <w:t>In place</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Session-based PIN required before any profile content displayed. Expires on browser close.</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No sensitive data stored</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left"/>
            </w:pPr>
            <w:r>
              <w:rPr>
                <w:rFonts w:ascii="Arial" w:hAnsi="Arial"/>
                <w:b/>
                <w:i w:val="0"/>
                <w:color w:val="2D5A27"/>
                <w:sz w:val="18"/>
              </w:rPr>
              <w:t>In place</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No medications, diagnoses, photographs, or financial data. Clinical flags only.</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Last Updated timestamp</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EEF3ED"/>
          </w:tcPr>
          <w:p>
            <w:pPr>
              <w:spacing w:before="60" w:after="60"/>
              <w:ind w:left="113"/>
              <w:jc w:val="left"/>
            </w:pPr>
            <w:r>
              <w:rPr>
                <w:rFonts w:ascii="Arial" w:hAnsi="Arial"/>
                <w:b/>
                <w:i w:val="0"/>
                <w:color w:val="2D5A27"/>
                <w:sz w:val="18"/>
              </w:rPr>
              <w:t>In place</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Every profile displays date and author of last update — data currency visible to all users</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Authenticated access (Cloudflare)</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left"/>
            </w:pPr>
            <w:r>
              <w:rPr>
                <w:rFonts w:ascii="Arial" w:hAnsi="Arial"/>
                <w:b/>
                <w:i w:val="0"/>
                <w:color w:val="7A4F00"/>
                <w:sz w:val="18"/>
              </w:rPr>
              <w:t>Recommended</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Cloudflare Access to be implemented before full deployment — restricts access to verified email addresses</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Profile deactivation process</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left"/>
            </w:pPr>
            <w:r>
              <w:rPr>
                <w:rFonts w:ascii="Arial" w:hAnsi="Arial"/>
                <w:b/>
                <w:i w:val="0"/>
                <w:color w:val="8A2E2E"/>
                <w:sz w:val="18"/>
              </w:rPr>
              <w:t>To be established</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Offboarding checklist to include profile deactivation on resident departure</w:t>
            </w:r>
          </w:p>
        </w:tc>
      </w:tr>
      <w:tr>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Token rotation schedule</w:t>
            </w:r>
          </w:p>
        </w:tc>
        <w:tc>
          <w:tcPr>
            <w:tcW w:type="dxa" w:w="3024"/>
            <w:shd w:val="clear" w:color="auto" w:fill="F8F9FA"/>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left"/>
            </w:pPr>
            <w:r>
              <w:rPr>
                <w:rFonts w:ascii="Arial" w:hAnsi="Arial"/>
                <w:b/>
                <w:i w:val="0"/>
                <w:color w:val="8A2E2E"/>
                <w:sz w:val="18"/>
              </w:rPr>
              <w:t>To be established</w:t>
            </w:r>
          </w:p>
        </w:tc>
        <w:tc>
          <w:tcPr>
            <w:tcW w:type="dxa" w:w="3024"/>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GitHub API token to be rotated every 6 months — calendar reminder to be set</w:t>
            </w:r>
          </w:p>
        </w:tc>
      </w:tr>
      <w:tr>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sz w:val="19"/>
              </w:rPr>
              <w:t>Resident consent documentation</w:t>
            </w:r>
          </w:p>
        </w:tc>
        <w:tc>
          <w:tcPr>
            <w:tcW w:type="dxa" w:w="3024"/>
            <w:shd w:val="clear" w:color="auto" w:fill="FFFFFF"/>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left"/>
            </w:pPr>
            <w:r>
              <w:rPr>
                <w:rFonts w:ascii="Arial" w:hAnsi="Arial"/>
                <w:b/>
                <w:i w:val="0"/>
                <w:color w:val="8A2E2E"/>
                <w:sz w:val="18"/>
              </w:rPr>
              <w:t>To be established</w:t>
            </w:r>
          </w:p>
        </w:tc>
        <w:tc>
          <w:tcPr>
            <w:tcW w:type="dxa" w:w="3024"/>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Admission pack to be updated to reference NFC profile system and provide opt-out</w:t>
            </w:r>
          </w:p>
        </w:tc>
      </w:tr>
    </w:tbl>
    <w:p/>
    <w:p>
      <w:pPr>
        <w:spacing w:before="360" w:after="120"/>
        <w:pBdr>
          <w:bottom w:val="single" w:sz="6" w:space="1" w:color="1A3A5C"/>
        </w:pBdr>
      </w:pPr>
      <w:r>
        <w:rPr>
          <w:rFonts w:ascii="Arial" w:hAnsi="Arial"/>
          <w:b/>
          <w:color w:val="1A3A5C"/>
          <w:sz w:val="28"/>
        </w:rPr>
        <w:t>7. Recommendations and Conditions for Approval</w:t>
      </w:r>
    </w:p>
    <w:p>
      <w:pPr>
        <w:spacing w:after="120"/>
        <w:jc w:val="left"/>
      </w:pPr>
      <w:r>
        <w:rPr>
          <w:rFonts w:ascii="Arial" w:hAnsi="Arial"/>
          <w:b w:val="0"/>
          <w:i w:val="0"/>
          <w:sz w:val="21"/>
        </w:rPr>
        <w:t>This PIA recommends approval of the NFC Resident Profile System for a formal pilot on Acacia Ward, subject to the following conditions being met before or during the pilot period.</w:t>
      </w:r>
    </w:p>
    <w:p/>
    <w:tbl>
      <w:tblPr>
        <w:tblW w:type="auto" w:w="0"/>
        <w:jc w:val="left"/>
        <w:tblLook w:firstColumn="1" w:firstRow="1" w:lastColumn="0" w:lastRow="0" w:noHBand="0" w:noVBand="1" w:val="04A0"/>
      </w:tblPr>
      <w:tblGrid>
        <w:gridCol w:w="454"/>
        <w:gridCol w:w="4252"/>
        <w:gridCol w:w="1417"/>
        <w:gridCol w:w="3231"/>
      </w:tblGrid>
      <w:tr>
        <w:tc>
          <w:tcPr>
            <w:tcW w:type="dxa" w:w="2268"/>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w:t>
            </w:r>
          </w:p>
        </w:tc>
        <w:tc>
          <w:tcPr>
            <w:tcW w:type="dxa" w:w="2268"/>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Recommendation</w:t>
            </w:r>
          </w:p>
        </w:tc>
        <w:tc>
          <w:tcPr>
            <w:tcW w:type="dxa" w:w="2268"/>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Priority</w:t>
            </w:r>
          </w:p>
        </w:tc>
        <w:tc>
          <w:tcPr>
            <w:tcW w:type="dxa" w:w="2268"/>
            <w:shd w:val="clear" w:color="auto" w:fill="1A3A5C"/>
            <w:tcBorders>
              <w:top w:val="single" w:sz="4" w:space="0" w:color="FFFFFF"/>
              <w:left w:val="single" w:sz="4" w:space="0" w:color="FFFFFF"/>
              <w:bottom w:val="single" w:sz="4" w:space="0" w:color="FFFFFF"/>
              <w:right w:val="single" w:sz="4" w:space="0" w:color="FFFFFF"/>
            </w:tcBorders>
          </w:tcPr>
          <w:p>
            <w:pPr>
              <w:spacing w:before="60" w:after="60"/>
              <w:ind w:left="113"/>
              <w:jc w:val="left"/>
            </w:pPr>
            <w:r>
              <w:rPr>
                <w:rFonts w:ascii="Arial" w:hAnsi="Arial"/>
                <w:b/>
                <w:i w:val="0"/>
                <w:color w:val="FFFFFF"/>
                <w:sz w:val="18"/>
              </w:rPr>
              <w:t>Timing</w:t>
            </w:r>
          </w:p>
        </w:tc>
      </w:tr>
      <w:tr>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1</w:t>
            </w:r>
          </w:p>
        </w:tc>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Implement Cloudflare Access authentication on GitHub Pages site to restrict profile access to verified staff email addresses</w:t>
            </w:r>
          </w:p>
        </w:tc>
        <w:tc>
          <w:tcPr>
            <w:tcW w:type="dxa" w:w="2268"/>
            <w:shd w:val="clear" w:color="auto" w:fill="F8F9FA"/>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center"/>
            </w:pPr>
            <w:r>
              <w:rPr>
                <w:rFonts w:ascii="Arial" w:hAnsi="Arial"/>
                <w:b/>
                <w:i w:val="0"/>
                <w:color w:val="8A2E2E"/>
                <w:sz w:val="18"/>
              </w:rPr>
              <w:t>High</w:t>
            </w:r>
          </w:p>
        </w:tc>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Before full deployment — optional for single-ward pilot</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2</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Update Bluecare privacy policy documentation to include NFC Resident Profile System as a point-of-care communication tool</w:t>
            </w:r>
          </w:p>
        </w:tc>
        <w:tc>
          <w:tcPr>
            <w:tcW w:type="dxa" w:w="2268"/>
            <w:shd w:val="clear" w:color="auto" w:fill="FFFFFF"/>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center"/>
            </w:pPr>
            <w:r>
              <w:rPr>
                <w:rFonts w:ascii="Arial" w:hAnsi="Arial"/>
                <w:b/>
                <w:i w:val="0"/>
                <w:color w:val="8A2E2E"/>
                <w:sz w:val="18"/>
              </w:rPr>
              <w:t>High</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Before pilot commencement</w:t>
            </w:r>
          </w:p>
        </w:tc>
      </w:tr>
      <w:tr>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3</w:t>
            </w:r>
          </w:p>
        </w:tc>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Update resident admission information pack to reference the system and provide opt-out option</w:t>
            </w:r>
          </w:p>
        </w:tc>
        <w:tc>
          <w:tcPr>
            <w:tcW w:type="dxa" w:w="2268"/>
            <w:shd w:val="clear" w:color="auto" w:fill="F8F9FA"/>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center"/>
            </w:pPr>
            <w:r>
              <w:rPr>
                <w:rFonts w:ascii="Arial" w:hAnsi="Arial"/>
                <w:b/>
                <w:i w:val="0"/>
                <w:color w:val="8A2E2E"/>
                <w:sz w:val="18"/>
              </w:rPr>
              <w:t>High</w:t>
            </w:r>
          </w:p>
        </w:tc>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Before pilot commencement</w:t>
            </w:r>
          </w:p>
        </w:tc>
      </w:tr>
      <w:tr>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4</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Establish profile update protocol — designate ward-level maintainer and link updates to care plan review cycle</w:t>
            </w:r>
          </w:p>
        </w:tc>
        <w:tc>
          <w:tcPr>
            <w:tcW w:type="dxa" w:w="2268"/>
            <w:shd w:val="clear" w:color="auto" w:fill="FFFFFF"/>
            <w:tcBorders>
              <w:top w:val="single" w:sz="4" w:space="0" w:color="D0D7DE"/>
              <w:left w:val="single" w:sz="4" w:space="0" w:color="D0D7DE"/>
              <w:bottom w:val="single" w:sz="4" w:space="0" w:color="D0D7DE"/>
              <w:right w:val="single" w:sz="4" w:space="0" w:color="D0D7DE"/>
            </w:tcBorders>
            <w:shd w:val="clear" w:color="auto" w:fill="FDF0F0"/>
          </w:tcPr>
          <w:p>
            <w:pPr>
              <w:spacing w:before="60" w:after="60"/>
              <w:ind w:left="113"/>
              <w:jc w:val="center"/>
            </w:pPr>
            <w:r>
              <w:rPr>
                <w:rFonts w:ascii="Arial" w:hAnsi="Arial"/>
                <w:b/>
                <w:i w:val="0"/>
                <w:color w:val="8A2E2E"/>
                <w:sz w:val="18"/>
              </w:rPr>
              <w:t>High</w:t>
            </w:r>
          </w:p>
        </w:tc>
        <w:tc>
          <w:tcPr>
            <w:tcW w:type="dxa" w:w="2268"/>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Before pilot commencement</w:t>
            </w:r>
          </w:p>
        </w:tc>
      </w:tr>
      <w:tr>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center"/>
            </w:pPr>
            <w:r>
              <w:rPr>
                <w:rFonts w:ascii="Arial" w:hAnsi="Arial"/>
                <w:b w:val="0"/>
                <w:i w:val="0"/>
                <w:sz w:val="18"/>
              </w:rPr>
              <w:t>5</w:t>
            </w:r>
          </w:p>
        </w:tc>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Establish profile deactivation process as part of resident offboarding checklist</w:t>
            </w:r>
          </w:p>
        </w:tc>
        <w:tc>
          <w:tcPr>
            <w:tcW w:type="dxa" w:w="2268"/>
            <w:shd w:val="clear" w:color="auto" w:fill="F8F9FA"/>
            <w:tcBorders>
              <w:top w:val="single" w:sz="4" w:space="0" w:color="D0D7DE"/>
              <w:left w:val="single" w:sz="4" w:space="0" w:color="D0D7DE"/>
              <w:bottom w:val="single" w:sz="4" w:space="0" w:color="D0D7DE"/>
              <w:right w:val="single" w:sz="4" w:space="0" w:color="D0D7DE"/>
            </w:tcBorders>
            <w:shd w:val="clear" w:color="auto" w:fill="FDF5E6"/>
          </w:tcPr>
          <w:p>
            <w:pPr>
              <w:spacing w:before="60" w:after="60"/>
              <w:ind w:left="113"/>
              <w:jc w:val="center"/>
            </w:pPr>
            <w:r>
              <w:rPr>
                <w:rFonts w:ascii="Arial" w:hAnsi="Arial"/>
                <w:b/>
                <w:i w:val="0"/>
                <w:color w:val="7A4F00"/>
                <w:sz w:val="18"/>
              </w:rPr>
              <w:t>Medium</w:t>
            </w:r>
          </w:p>
        </w:tc>
        <w:tc>
          <w:tcPr>
            <w:tcW w:type="dxa" w:w="2268"/>
            <w:shd w:val="clear" w:color="auto" w:fill="F8F9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19"/>
              </w:rPr>
              <w:t>During pilot period</w:t>
            </w:r>
          </w:p>
        </w:tc>
      </w:tr>
    </w:tbl>
    <w:p/>
    <w:p>
      <w:pPr>
        <w:spacing w:before="360" w:after="120"/>
        <w:pBdr>
          <w:bottom w:val="single" w:sz="6" w:space="1" w:color="1A3A5C"/>
        </w:pBdr>
      </w:pPr>
      <w:r>
        <w:rPr>
          <w:rFonts w:ascii="Arial" w:hAnsi="Arial"/>
          <w:b/>
          <w:color w:val="1A3A5C"/>
          <w:sz w:val="28"/>
        </w:rPr>
        <w:t>8. Sign-Off</w:t>
      </w:r>
    </w:p>
    <w:tbl>
      <w:tblPr>
        <w:tblW w:type="auto" w:w="0"/>
        <w:jc w:val="left"/>
        <w:tblLook w:firstColumn="1" w:firstRow="1" w:lastColumn="0" w:lastRow="0" w:noHBand="0" w:noVBand="1" w:val="04A0"/>
      </w:tblPr>
      <w:tblGrid>
        <w:gridCol w:w="4536"/>
        <w:gridCol w:w="4536"/>
      </w:tblGrid>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PIA Prepared By</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Lincoln Huggard RN — Bluecare Talleyhaven</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Date</w:t>
            </w:r>
          </w:p>
        </w:tc>
        <w:tc>
          <w:tcPr>
            <w:tcW w:type="dxa" w:w="4536"/>
            <w:shd w:val="clear" w:color="auto" w:fill="FFFFFF"/>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t>31 March 2026</w:t>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Reviewed By</w:t>
            </w:r>
          </w:p>
        </w:tc>
        <w:tc>
          <w:tcPr>
            <w:tcW w:type="dxa" w:w="4536"/>
            <w:shd w:val="clear" w:color="auto" w:fill="FAFA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Review Date</w:t>
            </w:r>
          </w:p>
        </w:tc>
        <w:tc>
          <w:tcPr>
            <w:tcW w:type="dxa" w:w="4536"/>
            <w:shd w:val="clear" w:color="auto" w:fill="FAFA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Compliance Approved By</w:t>
            </w:r>
          </w:p>
        </w:tc>
        <w:tc>
          <w:tcPr>
            <w:tcW w:type="dxa" w:w="4536"/>
            <w:shd w:val="clear" w:color="auto" w:fill="FAFA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r>
          </w:p>
        </w:tc>
      </w:tr>
      <w:tr>
        <w:tc>
          <w:tcPr>
            <w:tcW w:type="dxa" w:w="4536"/>
            <w:shd w:val="clear" w:color="auto" w:fill="EEF5F9"/>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i w:val="0"/>
                <w:color w:val="1A3A5C"/>
                <w:sz w:val="18"/>
              </w:rPr>
              <w:t>Approval Date</w:t>
            </w:r>
          </w:p>
        </w:tc>
        <w:tc>
          <w:tcPr>
            <w:tcW w:type="dxa" w:w="4536"/>
            <w:shd w:val="clear" w:color="auto" w:fill="FAFAFA"/>
            <w:tcBorders>
              <w:top w:val="single" w:sz="4" w:space="0" w:color="D0D7DE"/>
              <w:left w:val="single" w:sz="4" w:space="0" w:color="D0D7DE"/>
              <w:bottom w:val="single" w:sz="4" w:space="0" w:color="D0D7DE"/>
              <w:right w:val="single" w:sz="4" w:space="0" w:color="D0D7DE"/>
            </w:tcBorders>
          </w:tcPr>
          <w:p>
            <w:pPr>
              <w:spacing w:before="60" w:after="60"/>
              <w:ind w:left="113"/>
              <w:jc w:val="left"/>
            </w:pPr>
            <w:r>
              <w:rPr>
                <w:rFonts w:ascii="Arial" w:hAnsi="Arial"/>
                <w:b w:val="0"/>
                <w:i w:val="0"/>
                <w:sz w:val="20"/>
              </w:rPr>
            </w:r>
          </w:p>
        </w:tc>
      </w:tr>
    </w:tbl>
    <w:p/>
    <w:p>
      <w:pPr>
        <w:spacing w:after="120"/>
        <w:jc w:val="left"/>
      </w:pPr>
      <w:r>
        <w:rPr>
          <w:rFonts w:ascii="Arial" w:hAnsi="Arial"/>
          <w:b w:val="0"/>
          <w:i/>
          <w:color w:val="787878"/>
          <w:sz w:val="18"/>
        </w:rPr>
        <w:t>This Privacy Impact Assessment was prepared using the OAIC Privacy Impact Assessment Guide (oaic.gov.au) as a framework. It does not constitute legal advice. Bluecare's compliance team should review this document and confirm alignment with Bluecare's internal privacy policies and any applicable UnitingCare governance requirements.</w:t>
      </w:r>
    </w:p>
    <w:p/>
    <w:p>
      <w:pPr>
        <w:jc w:val="center"/>
        <w:pBdr>
          <w:top w:val="single" w:sz="4" w:space="1" w:color="D0D7DE"/>
        </w:pBdr>
      </w:pPr>
      <w:r>
        <w:rPr>
          <w:rFonts w:ascii="Arial" w:hAnsi="Arial"/>
          <w:color w:val="787878"/>
          <w:sz w:val="16"/>
        </w:rPr>
        <w:t>Bluecare Talleyhaven — Privacy Impact Assessment — NFC Resident Profile System</w:t>
        <w:br/>
        <w:t>Lincoln Huggard RN — 31 March 2026 — Internal Compliance Document</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