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sz w:val="24"/>
          <w:szCs w:val="24"/>
        </w:rPr>
        <w:t xml:space="preserve"/>
      </w:r>
    </w:p>
    <w:p>
      <w:pPr>
        <w:spacing w:after="60"/>
      </w:pPr>
      <w:r>
        <w:rPr>
          <w:rFonts w:ascii="Times New Roman" w:cs="Times New Roman" w:eastAsia="Times New Roman" w:hAnsi="Times New Roman"/>
          <w:sz w:val="24"/>
          <w:szCs w:val="24"/>
        </w:rPr>
        <w:t xml:space="preserve"/>
      </w:r>
    </w:p>
    <w:p>
      <w:pPr>
        <w:spacing w:after="0"/>
        <w:ind/>
        <w:jc w:val="center"/>
      </w:pPr>
      <w:r>
        <w:rPr>
          <w:rFonts w:ascii="Times New Roman" w:cs="Times New Roman" w:eastAsia="Times New Roman" w:hAnsi="Times New Roman"/>
          <w:b/>
          <w:bCs/>
          <w:sz w:val="24"/>
          <w:szCs w:val="24"/>
        </w:rPr>
        <w:t xml:space="preserve">CÔNG TY TNHH TƯ VẤN CÔNG NGHỆ ITDJ</w:t>
      </w:r>
    </w:p>
    <w:p>
      <w:pPr>
        <w:spacing w:after="240"/>
        <w:ind/>
        <w:jc w:val="center"/>
      </w:pPr>
      <w:r>
        <w:rPr>
          <w:rFonts w:ascii="Times New Roman" w:cs="Times New Roman" w:eastAsia="Times New Roman" w:hAnsi="Times New Roman"/>
          <w:b/>
          <w:bCs/>
          <w:sz w:val="24"/>
          <w:szCs w:val="24"/>
        </w:rPr>
        <w:t xml:space="preserve">TỔ CHUYÊN GIA</w:t>
      </w:r>
    </w:p>
    <w:p>
      <w:pPr>
        <w:spacing w:after="400"/>
        <w:ind/>
        <w:jc w:val="center"/>
      </w:pPr>
      <w:r>
        <w:rPr>
          <w:rFonts w:ascii="Times New Roman" w:cs="Times New Roman" w:eastAsia="Times New Roman" w:hAnsi="Times New Roman"/>
          <w:b/>
          <w:bCs/>
          <w:sz w:val="24"/>
          <w:szCs w:val="24"/>
        </w:rPr>
        <w:t xml:space="preserve">─────────────────────────────</w:t>
      </w:r>
    </w:p>
    <w:p>
      <w:pPr>
        <w:spacing w:after="0"/>
        <w:ind/>
        <w:jc w:val="center"/>
      </w:pPr>
      <w:r>
        <w:rPr>
          <w:rFonts w:ascii="Times New Roman" w:cs="Times New Roman" w:eastAsia="Times New Roman" w:hAnsi="Times New Roman"/>
          <w:b/>
          <w:bCs/>
          <w:sz w:val="28"/>
          <w:szCs w:val="28"/>
        </w:rPr>
        <w:t xml:space="preserve">BÁO CÁO TỔNG HỢP</w:t>
      </w:r>
    </w:p>
    <w:p>
      <w:pPr>
        <w:spacing w:after="0"/>
        <w:ind/>
        <w:jc w:val="center"/>
      </w:pPr>
      <w:r>
        <w:rPr>
          <w:rFonts w:ascii="Times New Roman" w:cs="Times New Roman" w:eastAsia="Times New Roman" w:hAnsi="Times New Roman"/>
          <w:b/>
          <w:bCs/>
          <w:sz w:val="26"/>
          <w:szCs w:val="26"/>
        </w:rPr>
        <w:t xml:space="preserve">GIẢI TRÌNH CÁC NỘI DUNG LÀM RÕ VÀ KIẾN NGHỊ</w:t>
      </w:r>
    </w:p>
    <w:p>
      <w:pPr>
        <w:spacing w:after="120"/>
        <w:ind/>
        <w:jc w:val="center"/>
      </w:pPr>
      <w:r>
        <w:rPr>
          <w:rFonts w:ascii="Times New Roman" w:cs="Times New Roman" w:eastAsia="Times New Roman" w:hAnsi="Times New Roman"/>
          <w:b/>
          <w:bCs/>
          <w:sz w:val="26"/>
          <w:szCs w:val="26"/>
        </w:rPr>
        <w:t xml:space="preserve">ĐỐI VỚI E-HSMT SỐ IB2600144373</w:t>
      </w:r>
    </w:p>
    <w:p>
      <w:pPr>
        <w:spacing w:after="0"/>
        <w:ind/>
        <w:jc w:val="center"/>
      </w:pPr>
      <w:r>
        <w:rPr>
          <w:rFonts w:ascii="Times New Roman" w:cs="Times New Roman" w:eastAsia="Times New Roman" w:hAnsi="Times New Roman"/>
          <w:i/>
          <w:iCs/>
          <w:sz w:val="24"/>
          <w:szCs w:val="24"/>
        </w:rPr>
        <w:t xml:space="preserve">Gói thầu số 05: Triển khai mở rộng phần mềm quản lý</w:t>
      </w:r>
    </w:p>
    <w:p>
      <w:pPr>
        <w:spacing w:after="400"/>
        <w:ind/>
        <w:jc w:val="center"/>
      </w:pPr>
      <w:r>
        <w:rPr>
          <w:rFonts w:ascii="Times New Roman" w:cs="Times New Roman" w:eastAsia="Times New Roman" w:hAnsi="Times New Roman"/>
          <w:i/>
          <w:iCs/>
          <w:sz w:val="24"/>
          <w:szCs w:val="24"/>
        </w:rPr>
        <w:t xml:space="preserve">công tác cải cách hành chính đến cấp xã</w:t>
      </w:r>
    </w:p>
    <w:p>
      <w:pPr>
        <w:spacing w:after="400"/>
        <w:ind/>
        <w:jc w:val="center"/>
      </w:pPr>
      <w:r>
        <w:rPr>
          <w:rFonts w:ascii="Times New Roman" w:cs="Times New Roman" w:eastAsia="Times New Roman" w:hAnsi="Times New Roman"/>
          <w:b/>
          <w:bCs/>
          <w:sz w:val="24"/>
          <w:szCs w:val="24"/>
        </w:rPr>
        <w:t xml:space="preserve">─────────────────────────────</w:t>
      </w:r>
    </w:p>
    <w:p>
      <w:pPr>
        <w:spacing w:after="120"/>
        <w:ind/>
        <w:jc w:val="center"/>
      </w:pPr>
      <w:r>
        <w:rPr>
          <w:rFonts w:ascii="Times New Roman" w:cs="Times New Roman" w:eastAsia="Times New Roman" w:hAnsi="Times New Roman"/>
          <w:b/>
          <w:bCs/>
          <w:sz w:val="24"/>
          <w:szCs w:val="24"/>
        </w:rPr>
        <w:t xml:space="preserve">Trình: Hội đồng xem xét, giải quyết kiến nghị</w:t>
      </w:r>
    </w:p>
    <w:p>
      <w:pPr>
        <w:spacing w:after="400"/>
        <w:ind/>
        <w:jc w:val="center"/>
      </w:pPr>
      <w:r>
        <w:rPr>
          <w:rFonts w:ascii="Times New Roman" w:cs="Times New Roman" w:eastAsia="Times New Roman" w:hAnsi="Times New Roman"/>
          <w:sz w:val="24"/>
          <w:szCs w:val="24"/>
        </w:rPr>
        <w:t xml:space="preserve">Sở Nội vụ tỉnh An Giang</w:t>
      </w:r>
    </w:p>
    <w:p>
      <w:pPr>
        <w:spacing w:after="60"/>
      </w:pPr>
      <w:r>
        <w:rPr>
          <w:rFonts w:ascii="Times New Roman" w:cs="Times New Roman" w:eastAsia="Times New Roman" w:hAnsi="Times New Roman"/>
          <w:sz w:val="24"/>
          <w:szCs w:val="24"/>
        </w:rPr>
        <w:t xml:space="preserve"/>
      </w:r>
    </w:p>
    <w:p>
      <w:pPr>
        <w:spacing w:after="60"/>
      </w:pPr>
      <w:r>
        <w:rPr>
          <w:rFonts w:ascii="Times New Roman" w:cs="Times New Roman" w:eastAsia="Times New Roman" w:hAnsi="Times New Roman"/>
          <w:sz w:val="24"/>
          <w:szCs w:val="24"/>
        </w:rPr>
        <w:t xml:space="preserve"/>
      </w:r>
    </w:p>
    <w:p>
      <w:pPr>
        <w:spacing w:after="0"/>
        <w:ind/>
        <w:jc w:val="center"/>
      </w:pPr>
      <w:r>
        <w:rPr>
          <w:rFonts w:ascii="Times New Roman" w:cs="Times New Roman" w:eastAsia="Times New Roman" w:hAnsi="Times New Roman"/>
          <w:i/>
          <w:iCs/>
          <w:sz w:val="24"/>
          <w:szCs w:val="24"/>
        </w:rPr>
        <w:t xml:space="preserve">Hồ Chí Minh, tháng 4 năm 2026</w:t>
      </w:r>
    </w:p>
    <w:p>
      <w:pPr>
        <w:spacing w:after="0"/>
      </w:pPr>
      <w:r>
        <w:br w:type="page"/>
      </w:r>
    </w:p>
    <w:p>
      <w:pPr>
        <w:pStyle w:val="Heading1"/>
        <w:spacing w:after="120" w:before="200"/>
        <w:jc w:val="center"/>
      </w:pPr>
      <w:r>
        <w:rPr>
          <w:rFonts w:ascii="Times New Roman" w:cs="Times New Roman" w:eastAsia="Times New Roman" w:hAnsi="Times New Roman"/>
          <w:b/>
          <w:bCs/>
          <w:sz w:val="26"/>
          <w:szCs w:val="26"/>
        </w:rPr>
        <w:t xml:space="preserve">I. MỤC ĐÍCH VÀ CĂN CỨ LẬP BÁO CÁO</w:t>
      </w:r>
    </w:p>
    <w:p>
      <w:pPr>
        <w:spacing w:after="120"/>
        <w:ind/>
        <w:jc w:val="both"/>
      </w:pPr>
      <w:r>
        <w:rPr>
          <w:rFonts w:ascii="Times New Roman" w:cs="Times New Roman" w:eastAsia="Times New Roman" w:hAnsi="Times New Roman"/>
          <w:b/>
          <w:bCs/>
          <w:sz w:val="24"/>
          <w:szCs w:val="24"/>
        </w:rPr>
        <w:t xml:space="preserve">1. Mục đích</w:t>
      </w:r>
    </w:p>
    <w:p>
      <w:pPr>
        <w:spacing w:after="120"/>
        <w:ind/>
        <w:jc w:val="both"/>
      </w:pPr>
      <w:r>
        <w:rPr>
          <w:rFonts w:ascii="Times New Roman" w:cs="Times New Roman" w:eastAsia="Times New Roman" w:hAnsi="Times New Roman"/>
          <w:sz w:val="24"/>
          <w:szCs w:val="24"/>
        </w:rPr>
        <w:t xml:space="preserve">Báo cáo này được lập nhằm tổng hợp toàn bộ diễn biến quá trình làm rõ và kiến nghị E-HSMT, cung cấp tài liệu giải trình đầy đủ, chặt chẽ để Hội đồng xem xét và ra kết luận cuối cùng về tính hợp lệ của các tiêu chí E-HSMT số IB2600144373 trước thời điểm đóng thầu.</w:t>
      </w:r>
    </w:p>
    <w:p>
      <w:pPr>
        <w:spacing w:after="120"/>
        <w:ind/>
        <w:jc w:val="both"/>
      </w:pPr>
      <w:r>
        <w:rPr>
          <w:rFonts w:ascii="Times New Roman" w:cs="Times New Roman" w:eastAsia="Times New Roman" w:hAnsi="Times New Roman"/>
          <w:b/>
          <w:bCs/>
          <w:sz w:val="24"/>
          <w:szCs w:val="24"/>
        </w:rPr>
        <w:t xml:space="preserve">2. Căn cứ pháp lý</w:t>
      </w:r>
    </w:p>
    <w:p>
      <w:pPr>
        <w:pStyle w:val="ListParagraph"/>
        <w:numPr>
          <w:ilvl w:val="0"/>
          <w:numId w:val="2"/>
        </w:numPr>
        <w:spacing w:after="80"/>
      </w:pPr>
      <w:r>
        <w:rPr>
          <w:rFonts w:ascii="Times New Roman" w:cs="Times New Roman" w:eastAsia="Times New Roman" w:hAnsi="Times New Roman"/>
          <w:sz w:val="24"/>
          <w:szCs w:val="24"/>
        </w:rPr>
        <w:t xml:space="preserve">Luật Đấu thầu số 22/2023/QH15 ngày 23 tháng 6 năm 2023;</w:t>
      </w:r>
    </w:p>
    <w:p>
      <w:pPr>
        <w:pStyle w:val="ListParagraph"/>
        <w:numPr>
          <w:ilvl w:val="0"/>
          <w:numId w:val="2"/>
        </w:numPr>
        <w:spacing w:after="80"/>
      </w:pPr>
      <w:r>
        <w:rPr>
          <w:rFonts w:ascii="Times New Roman" w:cs="Times New Roman" w:eastAsia="Times New Roman" w:hAnsi="Times New Roman"/>
          <w:sz w:val="24"/>
          <w:szCs w:val="24"/>
        </w:rPr>
        <w:t xml:space="preserve">Luật số 57/2024/QH15 ngày 29 tháng 11 năm 2024 về sửa đổi, bổ sung một số điều của Luật Đấu thầu;</w:t>
      </w:r>
    </w:p>
    <w:p>
      <w:pPr>
        <w:pStyle w:val="ListParagraph"/>
        <w:numPr>
          <w:ilvl w:val="0"/>
          <w:numId w:val="2"/>
        </w:numPr>
        <w:spacing w:after="80"/>
      </w:pPr>
      <w:r>
        <w:rPr>
          <w:rFonts w:ascii="Times New Roman" w:cs="Times New Roman" w:eastAsia="Times New Roman" w:hAnsi="Times New Roman"/>
          <w:sz w:val="24"/>
          <w:szCs w:val="24"/>
        </w:rPr>
        <w:t xml:space="preserve">Luật số 90/2025/QH15 ngày 25 tháng 6 năm 2025 về sửa đổi, bổ sung một số điều của Luật Đấu thầu;</w:t>
      </w:r>
    </w:p>
    <w:p>
      <w:pPr>
        <w:pStyle w:val="ListParagraph"/>
        <w:numPr>
          <w:ilvl w:val="0"/>
          <w:numId w:val="2"/>
        </w:numPr>
        <w:spacing w:after="80"/>
      </w:pPr>
      <w:r>
        <w:rPr>
          <w:rFonts w:ascii="Times New Roman" w:cs="Times New Roman" w:eastAsia="Times New Roman" w:hAnsi="Times New Roman"/>
          <w:sz w:val="24"/>
          <w:szCs w:val="24"/>
        </w:rPr>
        <w:t xml:space="preserve">Nghị định số 214/2025/NĐ-CP ngày 04 tháng 8 năm 2025 của Chính phủ quy định chi tiết một số điều và biện pháp thi hành Luật Đấu thầu về lựa chọn nhà thầu;</w:t>
      </w:r>
    </w:p>
    <w:p>
      <w:pPr>
        <w:pStyle w:val="ListParagraph"/>
        <w:numPr>
          <w:ilvl w:val="0"/>
          <w:numId w:val="2"/>
        </w:numPr>
        <w:spacing w:after="80"/>
      </w:pPr>
      <w:r>
        <w:rPr>
          <w:rFonts w:ascii="Times New Roman" w:cs="Times New Roman" w:eastAsia="Times New Roman" w:hAnsi="Times New Roman"/>
          <w:sz w:val="24"/>
          <w:szCs w:val="24"/>
        </w:rPr>
        <w:t xml:space="preserve">Nghị định số 45/2026/NĐ-CP ngày 26 tháng 01 năm 2026 của Chính phủ;</w:t>
      </w:r>
    </w:p>
    <w:p>
      <w:pPr>
        <w:pStyle w:val="ListParagraph"/>
        <w:numPr>
          <w:ilvl w:val="0"/>
          <w:numId w:val="2"/>
        </w:numPr>
        <w:spacing w:after="80"/>
      </w:pPr>
      <w:r>
        <w:rPr>
          <w:rFonts w:ascii="Times New Roman" w:cs="Times New Roman" w:eastAsia="Times New Roman" w:hAnsi="Times New Roman"/>
          <w:sz w:val="24"/>
          <w:szCs w:val="24"/>
        </w:rPr>
        <w:t xml:space="preserve">Thông tư số 79/2025/TT-BTC ngày 04 tháng 8 năm 2025 của Bộ Tài chính;</w:t>
      </w:r>
    </w:p>
    <w:p>
      <w:pPr>
        <w:pStyle w:val="ListParagraph"/>
        <w:numPr>
          <w:ilvl w:val="0"/>
          <w:numId w:val="2"/>
        </w:numPr>
        <w:spacing w:after="80"/>
      </w:pPr>
      <w:r>
        <w:rPr>
          <w:rFonts w:ascii="Times New Roman" w:cs="Times New Roman" w:eastAsia="Times New Roman" w:hAnsi="Times New Roman"/>
          <w:sz w:val="24"/>
          <w:szCs w:val="24"/>
        </w:rPr>
        <w:t xml:space="preserve">Chỉ thị số 12/CT-TTg ngày 03 tháng 4 năm 2026 của Thủ tướng Chính phủ về tăng cường, nâng cao hiệu lực, hiệu quả, trách nhiệm trong công tác đấu thầu;</w:t>
      </w:r>
    </w:p>
    <w:p>
      <w:pPr>
        <w:pStyle w:val="ListParagraph"/>
        <w:numPr>
          <w:ilvl w:val="0"/>
          <w:numId w:val="2"/>
        </w:numPr>
        <w:spacing w:after="80"/>
      </w:pPr>
      <w:r>
        <w:rPr>
          <w:rFonts w:ascii="Times New Roman" w:cs="Times New Roman" w:eastAsia="Times New Roman" w:hAnsi="Times New Roman"/>
          <w:sz w:val="24"/>
          <w:szCs w:val="24"/>
        </w:rPr>
        <w:t xml:space="preserve">E-HSMT số IB2600144373 ngày 10 tháng 4 năm 2026 và các văn bản làm rõ liên quan.</w:t>
      </w:r>
    </w:p>
    <w:p>
      <w:pPr>
        <w:pStyle w:val="Heading1"/>
        <w:spacing w:after="120" w:before="200"/>
        <w:jc w:val="center"/>
      </w:pPr>
      <w:r>
        <w:rPr>
          <w:rFonts w:ascii="Times New Roman" w:cs="Times New Roman" w:eastAsia="Times New Roman" w:hAnsi="Times New Roman"/>
          <w:b/>
          <w:bCs/>
          <w:sz w:val="26"/>
          <w:szCs w:val="26"/>
        </w:rPr>
        <w:t xml:space="preserve">II. CÁC MỐC THỜI GIAN VĂN BẢN LÀM RÕ VÀ KIẾN NGHỊ</w:t>
      </w:r>
    </w:p>
    <w:p>
      <w:pPr>
        <w:spacing w:after="120"/>
        <w:ind/>
        <w:jc w:val="both"/>
      </w:pPr>
      <w:r>
        <w:rPr>
          <w:rFonts w:ascii="Times New Roman" w:cs="Times New Roman" w:eastAsia="Times New Roman" w:hAnsi="Times New Roman"/>
          <w:sz w:val="24"/>
          <w:szCs w:val="24"/>
        </w:rPr>
        <w:t xml:space="preserve">Quá trình làm rõ và kiến nghị E-HSMT diễn ra liên tục từ sau khi phát hành HSMT. Bảng dưới đây tổng hợp toàn bộ các mốc thời gian theo trình tự:</w:t>
      </w:r>
    </w:p>
    <w:p>
      <w:pPr>
        <w:spacing w:after="6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800"/>
        <w:gridCol w:w="4326"/>
      </w:tblGrid>
      <w:tr>
        <w:trPr>
          <w:tblHeader/>
        </w:trPr>
        <w:tc>
          <w:tcPr>
            <w:tcW w:type="dxa" w:w="900"/>
            <w:tcBorders>
              <w:top w:val="single" w:color="2E5E9E" w:sz="4"/>
              <w:left w:val="single" w:color="2E5E9E" w:sz="4"/>
              <w:bottom w:val="single" w:color="2E5E9E" w:sz="4"/>
              <w:right w:val="single" w:color="2E5E9E" w:sz="4"/>
            </w:tcBorders>
            <w:shd w:fill="2E5E9E" w:val="clear"/>
            <w:tcMar>
              <w:top w:type="dxa" w:w="80"/>
              <w:left w:type="dxa" w:w="120"/>
              <w:bottom w:type="dxa" w:w="80"/>
              <w:right w:type="dxa" w:w="120"/>
            </w:tcMar>
            <w:vAlign w:val="top"/>
          </w:tcPr>
          <w:p>
            <w:pPr>
              <w:spacing w:after="60"/>
              <w:jc w:val="center"/>
            </w:pPr>
            <w:r>
              <w:rPr>
                <w:rFonts w:ascii="Times New Roman" w:cs="Times New Roman" w:eastAsia="Times New Roman" w:hAnsi="Times New Roman"/>
                <w:b/>
                <w:bCs/>
                <w:color w:val="FFFFFF"/>
                <w:sz w:val="24"/>
                <w:szCs w:val="24"/>
              </w:rPr>
              <w:t xml:space="preserve">STT</w:t>
            </w:r>
          </w:p>
        </w:tc>
        <w:tc>
          <w:tcPr>
            <w:tcW w:type="dxa" w:w="2000"/>
            <w:tcBorders>
              <w:top w:val="single" w:color="2E5E9E" w:sz="4"/>
              <w:left w:val="single" w:color="2E5E9E" w:sz="4"/>
              <w:bottom w:val="single" w:color="2E5E9E" w:sz="4"/>
              <w:right w:val="single" w:color="2E5E9E" w:sz="4"/>
            </w:tcBorders>
            <w:shd w:fill="2E5E9E" w:val="clear"/>
            <w:tcMar>
              <w:top w:type="dxa" w:w="80"/>
              <w:left w:type="dxa" w:w="120"/>
              <w:bottom w:type="dxa" w:w="80"/>
              <w:right w:type="dxa" w:w="120"/>
            </w:tcMar>
            <w:vAlign w:val="top"/>
          </w:tcPr>
          <w:p>
            <w:pPr>
              <w:spacing w:after="60"/>
              <w:jc w:val="center"/>
            </w:pPr>
            <w:r>
              <w:rPr>
                <w:rFonts w:ascii="Times New Roman" w:cs="Times New Roman" w:eastAsia="Times New Roman" w:hAnsi="Times New Roman"/>
                <w:b/>
                <w:bCs/>
                <w:color w:val="FFFFFF"/>
                <w:sz w:val="24"/>
                <w:szCs w:val="24"/>
              </w:rPr>
              <w:t xml:space="preserve">Ngày</w:t>
            </w:r>
          </w:p>
        </w:tc>
        <w:tc>
          <w:tcPr>
            <w:tcW w:type="dxa" w:w="1800"/>
            <w:tcBorders>
              <w:top w:val="single" w:color="2E5E9E" w:sz="4"/>
              <w:left w:val="single" w:color="2E5E9E" w:sz="4"/>
              <w:bottom w:val="single" w:color="2E5E9E" w:sz="4"/>
              <w:right w:val="single" w:color="2E5E9E" w:sz="4"/>
            </w:tcBorders>
            <w:shd w:fill="2E5E9E" w:val="clear"/>
            <w:tcMar>
              <w:top w:type="dxa" w:w="80"/>
              <w:left w:type="dxa" w:w="120"/>
              <w:bottom w:type="dxa" w:w="80"/>
              <w:right w:type="dxa" w:w="120"/>
            </w:tcMar>
            <w:vAlign w:val="top"/>
          </w:tcPr>
          <w:p>
            <w:pPr>
              <w:spacing w:after="60"/>
              <w:jc w:val="center"/>
            </w:pPr>
            <w:r>
              <w:rPr>
                <w:rFonts w:ascii="Times New Roman" w:cs="Times New Roman" w:eastAsia="Times New Roman" w:hAnsi="Times New Roman"/>
                <w:b/>
                <w:bCs/>
                <w:color w:val="FFFFFF"/>
                <w:sz w:val="24"/>
                <w:szCs w:val="24"/>
              </w:rPr>
              <w:t xml:space="preserve">Chủ thể</w:t>
            </w:r>
          </w:p>
        </w:tc>
        <w:tc>
          <w:tcPr>
            <w:tcW w:type="dxa" w:w="4326"/>
            <w:tcBorders>
              <w:top w:val="single" w:color="2E5E9E" w:sz="4"/>
              <w:left w:val="single" w:color="2E5E9E" w:sz="4"/>
              <w:bottom w:val="single" w:color="2E5E9E" w:sz="4"/>
              <w:right w:val="single" w:color="2E5E9E" w:sz="4"/>
            </w:tcBorders>
            <w:shd w:fill="2E5E9E" w:val="clear"/>
            <w:tcMar>
              <w:top w:type="dxa" w:w="80"/>
              <w:left w:type="dxa" w:w="120"/>
              <w:bottom w:type="dxa" w:w="80"/>
              <w:right w:type="dxa" w:w="120"/>
            </w:tcMar>
            <w:vAlign w:val="top"/>
          </w:tcPr>
          <w:p>
            <w:pPr>
              <w:spacing w:after="60"/>
              <w:jc w:val="center"/>
            </w:pPr>
            <w:r>
              <w:rPr>
                <w:rFonts w:ascii="Times New Roman" w:cs="Times New Roman" w:eastAsia="Times New Roman" w:hAnsi="Times New Roman"/>
                <w:b/>
                <w:bCs/>
                <w:color w:val="FFFFFF"/>
                <w:sz w:val="24"/>
                <w:szCs w:val="24"/>
              </w:rPr>
              <w:t xml:space="preserve">Nội dung văn bản / sự kiện</w:t>
            </w:r>
          </w:p>
        </w:tc>
      </w:tr>
      <w:tr>
        <w:tc>
          <w:tcPr>
            <w:tcW w:type="dxa" w:w="900"/>
            <w:tcBorders>
              <w:top w:val="single" w:color="AAAAAA" w:sz="2"/>
              <w:left w:val="single" w:color="AAAAAA" w:sz="2"/>
              <w:bottom w:val="single" w:color="AAAAAA" w:sz="2"/>
              <w:right w:val="single" w:color="AAAAAA" w:sz="2"/>
            </w:tcBorders>
            <w:tcMar>
              <w:top w:type="dxa" w:w="80"/>
              <w:left w:type="dxa" w:w="120"/>
              <w:bottom w:type="dxa" w:w="80"/>
              <w:right w:type="dxa" w:w="120"/>
            </w:tcMar>
            <w:vAlign w:val="top"/>
          </w:tcPr>
          <w:p>
            <w:pPr>
              <w:spacing w:after="60"/>
              <w:jc w:val="center"/>
            </w:pPr>
            <w:r>
              <w:rPr>
                <w:rFonts w:ascii="Times New Roman" w:cs="Times New Roman" w:eastAsia="Times New Roman" w:hAnsi="Times New Roman"/>
                <w:sz w:val="24"/>
                <w:szCs w:val="24"/>
              </w:rPr>
              <w:t xml:space="preserve">1</w:t>
            </w:r>
          </w:p>
        </w:tc>
        <w:tc>
          <w:tcPr>
            <w:tcW w:type="dxa" w:w="2000"/>
            <w:tcBorders>
              <w:top w:val="single" w:color="AAAAAA" w:sz="2"/>
              <w:left w:val="single" w:color="AAAAAA" w:sz="2"/>
              <w:bottom w:val="single" w:color="AAAAAA" w:sz="2"/>
              <w:right w:val="single" w:color="AAAAAA" w:sz="2"/>
            </w:tcBorders>
            <w:tcMar>
              <w:top w:type="dxa" w:w="80"/>
              <w:left w:type="dxa" w:w="120"/>
              <w:bottom w:type="dxa" w:w="80"/>
              <w:right w:type="dxa" w:w="120"/>
            </w:tcMar>
            <w:vAlign w:val="top"/>
          </w:tcPr>
          <w:p>
            <w:pPr>
              <w:spacing w:after="60"/>
              <w:jc w:val="center"/>
            </w:pPr>
            <w:r>
              <w:rPr>
                <w:rFonts w:ascii="Times New Roman" w:cs="Times New Roman" w:eastAsia="Times New Roman" w:hAnsi="Times New Roman"/>
                <w:sz w:val="24"/>
                <w:szCs w:val="24"/>
              </w:rPr>
              <w:t xml:space="preserve">10/04/2026</w:t>
            </w:r>
          </w:p>
        </w:tc>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vAlign w:val="top"/>
          </w:tcPr>
          <w:p>
            <w:pPr>
              <w:spacing w:after="60"/>
              <w:jc w:val="center"/>
            </w:pPr>
            <w:r>
              <w:rPr>
                <w:rFonts w:ascii="Times New Roman" w:cs="Times New Roman" w:eastAsia="Times New Roman" w:hAnsi="Times New Roman"/>
                <w:sz w:val="24"/>
                <w:szCs w:val="24"/>
              </w:rPr>
              <w:t xml:space="preserve">Sở Nội vụ An Giang</w:t>
            </w:r>
          </w:p>
        </w:tc>
        <w:tc>
          <w:tcPr>
            <w:tcW w:type="dxa" w:w="4326"/>
            <w:tcBorders>
              <w:top w:val="single" w:color="AAAAAA" w:sz="2"/>
              <w:left w:val="single" w:color="AAAAAA" w:sz="2"/>
              <w:bottom w:val="single" w:color="AAAAAA" w:sz="2"/>
              <w:right w:val="single" w:color="AAAAAA" w:sz="2"/>
            </w:tcBorders>
            <w:tcMar>
              <w:top w:type="dxa" w:w="80"/>
              <w:left w:type="dxa" w:w="120"/>
              <w:bottom w:type="dxa" w:w="80"/>
              <w:right w:type="dxa" w:w="120"/>
            </w:tcMar>
            <w:vAlign w:val="top"/>
          </w:tcPr>
          <w:p>
            <w:pPr>
              <w:spacing w:after="60"/>
              <w:jc w:val="both"/>
            </w:pPr>
            <w:r>
              <w:rPr>
                <w:rFonts w:ascii="Times New Roman" w:cs="Times New Roman" w:eastAsia="Times New Roman" w:hAnsi="Times New Roman"/>
                <w:sz w:val="24"/>
                <w:szCs w:val="24"/>
              </w:rPr>
              <w:t xml:space="preserve">Phát hành E-HSMT số IB2600144373 lúc 15:12 trên Hệ thống đấu thầu Quốc gia</w:t>
            </w:r>
          </w:p>
        </w:tc>
      </w:tr>
      <w:tr>
        <w:tc>
          <w:tcPr>
            <w:tcW w:type="dxa" w:w="900"/>
            <w:tcBorders>
              <w:top w:val="single" w:color="AAAAAA" w:sz="2"/>
              <w:left w:val="single" w:color="AAAAAA" w:sz="2"/>
              <w:bottom w:val="single" w:color="AAAAAA" w:sz="2"/>
              <w:right w:val="single" w:color="AAAAAA" w:sz="2"/>
            </w:tcBorders>
            <w:shd w:fill="EEF3FB" w:val="clear"/>
            <w:tcMar>
              <w:top w:type="dxa" w:w="80"/>
              <w:left w:type="dxa" w:w="120"/>
              <w:bottom w:type="dxa" w:w="80"/>
              <w:right w:type="dxa" w:w="120"/>
            </w:tcMar>
            <w:vAlign w:val="top"/>
          </w:tcPr>
          <w:p>
            <w:pPr>
              <w:spacing w:after="60"/>
              <w:jc w:val="center"/>
            </w:pPr>
            <w:r>
              <w:rPr>
                <w:rFonts w:ascii="Times New Roman" w:cs="Times New Roman" w:eastAsia="Times New Roman" w:hAnsi="Times New Roman"/>
                <w:sz w:val="24"/>
                <w:szCs w:val="24"/>
              </w:rPr>
              <w:t xml:space="preserve">2</w:t>
            </w:r>
          </w:p>
        </w:tc>
        <w:tc>
          <w:tcPr>
            <w:tcW w:type="dxa" w:w="2000"/>
            <w:tcBorders>
              <w:top w:val="single" w:color="AAAAAA" w:sz="2"/>
              <w:left w:val="single" w:color="AAAAAA" w:sz="2"/>
              <w:bottom w:val="single" w:color="AAAAAA" w:sz="2"/>
              <w:right w:val="single" w:color="AAAAAA" w:sz="2"/>
            </w:tcBorders>
            <w:shd w:fill="EEF3FB" w:val="clear"/>
            <w:tcMar>
              <w:top w:type="dxa" w:w="80"/>
              <w:left w:type="dxa" w:w="120"/>
              <w:bottom w:type="dxa" w:w="80"/>
              <w:right w:type="dxa" w:w="120"/>
            </w:tcMar>
            <w:vAlign w:val="top"/>
          </w:tcPr>
          <w:p>
            <w:pPr>
              <w:spacing w:after="60"/>
              <w:jc w:val="center"/>
            </w:pPr>
            <w:r>
              <w:rPr>
                <w:rFonts w:ascii="Times New Roman" w:cs="Times New Roman" w:eastAsia="Times New Roman" w:hAnsi="Times New Roman"/>
                <w:sz w:val="24"/>
                <w:szCs w:val="24"/>
              </w:rPr>
              <w:t xml:space="preserve">14/04/2026</w:t>
            </w:r>
          </w:p>
        </w:tc>
        <w:tc>
          <w:tcPr>
            <w:tcW w:type="dxa" w:w="1800"/>
            <w:tcBorders>
              <w:top w:val="single" w:color="AAAAAA" w:sz="2"/>
              <w:left w:val="single" w:color="AAAAAA" w:sz="2"/>
              <w:bottom w:val="single" w:color="AAAAAA" w:sz="2"/>
              <w:right w:val="single" w:color="AAAAAA" w:sz="2"/>
            </w:tcBorders>
            <w:shd w:fill="EEF3FB" w:val="clear"/>
            <w:tcMar>
              <w:top w:type="dxa" w:w="80"/>
              <w:left w:type="dxa" w:w="120"/>
              <w:bottom w:type="dxa" w:w="80"/>
              <w:right w:type="dxa" w:w="120"/>
            </w:tcMar>
            <w:vAlign w:val="top"/>
          </w:tcPr>
          <w:p>
            <w:pPr>
              <w:spacing w:after="60"/>
              <w:jc w:val="center"/>
            </w:pPr>
            <w:r>
              <w:rPr>
                <w:rFonts w:ascii="Times New Roman" w:cs="Times New Roman" w:eastAsia="Times New Roman" w:hAnsi="Times New Roman"/>
                <w:sz w:val="24"/>
                <w:szCs w:val="24"/>
              </w:rPr>
              <w:t xml:space="preserve">Nhà thầu (ẩn danh)</w:t>
            </w:r>
          </w:p>
        </w:tc>
        <w:tc>
          <w:tcPr>
            <w:tcW w:type="dxa" w:w="4326"/>
            <w:tcBorders>
              <w:top w:val="single" w:color="AAAAAA" w:sz="2"/>
              <w:left w:val="single" w:color="AAAAAA" w:sz="2"/>
              <w:bottom w:val="single" w:color="AAAAAA" w:sz="2"/>
              <w:right w:val="single" w:color="AAAAAA" w:sz="2"/>
            </w:tcBorders>
            <w:shd w:fill="EEF3FB" w:val="clear"/>
            <w:tcMar>
              <w:top w:type="dxa" w:w="80"/>
              <w:left w:type="dxa" w:w="120"/>
              <w:bottom w:type="dxa" w:w="80"/>
              <w:right w:type="dxa" w:w="120"/>
            </w:tcMar>
            <w:vAlign w:val="top"/>
          </w:tcPr>
          <w:p>
            <w:pPr>
              <w:spacing w:after="60"/>
              <w:jc w:val="both"/>
            </w:pPr>
            <w:r>
              <w:rPr>
                <w:rFonts w:ascii="Times New Roman" w:cs="Times New Roman" w:eastAsia="Times New Roman" w:hAnsi="Times New Roman"/>
                <w:sz w:val="24"/>
                <w:szCs w:val="24"/>
              </w:rPr>
              <w:t xml:space="preserve">Gửi Yêu cầu làm rõ E-HSMT: Kiến nghị loại bỏ yêu cầu chứng chỉ phân tích dữ liệu đối với Chủ nhiệm dự án</w:t>
            </w:r>
          </w:p>
        </w:tc>
      </w:tr>
      <w:tr>
        <w:tc>
          <w:tcPr>
            <w:tcW w:type="dxa" w:w="900"/>
            <w:tcBorders>
              <w:top w:val="single" w:color="AAAAAA" w:sz="2"/>
              <w:left w:val="single" w:color="AAAAAA" w:sz="2"/>
              <w:bottom w:val="single" w:color="AAAAAA" w:sz="2"/>
              <w:right w:val="single" w:color="AAAAAA" w:sz="2"/>
            </w:tcBorders>
            <w:tcMar>
              <w:top w:type="dxa" w:w="80"/>
              <w:left w:type="dxa" w:w="120"/>
              <w:bottom w:type="dxa" w:w="80"/>
              <w:right w:type="dxa" w:w="120"/>
            </w:tcMar>
            <w:vAlign w:val="top"/>
          </w:tcPr>
          <w:p>
            <w:pPr>
              <w:spacing w:after="60"/>
              <w:jc w:val="center"/>
            </w:pPr>
            <w:r>
              <w:rPr>
                <w:rFonts w:ascii="Times New Roman" w:cs="Times New Roman" w:eastAsia="Times New Roman" w:hAnsi="Times New Roman"/>
                <w:sz w:val="24"/>
                <w:szCs w:val="24"/>
              </w:rPr>
              <w:t xml:space="preserve">3</w:t>
            </w:r>
          </w:p>
        </w:tc>
        <w:tc>
          <w:tcPr>
            <w:tcW w:type="dxa" w:w="2000"/>
            <w:tcBorders>
              <w:top w:val="single" w:color="AAAAAA" w:sz="2"/>
              <w:left w:val="single" w:color="AAAAAA" w:sz="2"/>
              <w:bottom w:val="single" w:color="AAAAAA" w:sz="2"/>
              <w:right w:val="single" w:color="AAAAAA" w:sz="2"/>
            </w:tcBorders>
            <w:tcMar>
              <w:top w:type="dxa" w:w="80"/>
              <w:left w:type="dxa" w:w="120"/>
              <w:bottom w:type="dxa" w:w="80"/>
              <w:right w:type="dxa" w:w="120"/>
            </w:tcMar>
            <w:vAlign w:val="top"/>
          </w:tcPr>
          <w:p>
            <w:pPr>
              <w:spacing w:after="60"/>
              <w:jc w:val="center"/>
            </w:pPr>
            <w:r>
              <w:rPr>
                <w:rFonts w:ascii="Times New Roman" w:cs="Times New Roman" w:eastAsia="Times New Roman" w:hAnsi="Times New Roman"/>
                <w:sz w:val="24"/>
                <w:szCs w:val="24"/>
              </w:rPr>
              <w:t xml:space="preserve">16/04/2026</w:t>
            </w:r>
          </w:p>
        </w:tc>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vAlign w:val="top"/>
          </w:tcPr>
          <w:p>
            <w:pPr>
              <w:spacing w:after="60"/>
              <w:jc w:val="center"/>
            </w:pPr>
            <w:r>
              <w:rPr>
                <w:rFonts w:ascii="Times New Roman" w:cs="Times New Roman" w:eastAsia="Times New Roman" w:hAnsi="Times New Roman"/>
                <w:sz w:val="24"/>
                <w:szCs w:val="24"/>
              </w:rPr>
              <w:t xml:space="preserve">Tổ Chuyên gia ITDJ</w:t>
            </w:r>
          </w:p>
        </w:tc>
        <w:tc>
          <w:tcPr>
            <w:tcW w:type="dxa" w:w="4326"/>
            <w:tcBorders>
              <w:top w:val="single" w:color="AAAAAA" w:sz="2"/>
              <w:left w:val="single" w:color="AAAAAA" w:sz="2"/>
              <w:bottom w:val="single" w:color="AAAAAA" w:sz="2"/>
              <w:right w:val="single" w:color="AAAAAA" w:sz="2"/>
            </w:tcBorders>
            <w:tcMar>
              <w:top w:type="dxa" w:w="80"/>
              <w:left w:type="dxa" w:w="120"/>
              <w:bottom w:type="dxa" w:w="80"/>
              <w:right w:type="dxa" w:w="120"/>
            </w:tcMar>
            <w:vAlign w:val="top"/>
          </w:tcPr>
          <w:p>
            <w:pPr>
              <w:spacing w:after="60"/>
              <w:jc w:val="both"/>
            </w:pPr>
            <w:r>
              <w:rPr>
                <w:rFonts w:ascii="Times New Roman" w:cs="Times New Roman" w:eastAsia="Times New Roman" w:hAnsi="Times New Roman"/>
                <w:sz w:val="24"/>
                <w:szCs w:val="24"/>
              </w:rPr>
              <w:t xml:space="preserve">Công văn số 0416/2026/CV-ITDJ-SNVAG: Phản hồi, bác bỏ kiến nghị về chứng chỉ phân tích dữ liệu — giữ nguyên E-HSMT</w:t>
            </w:r>
          </w:p>
        </w:tc>
      </w:tr>
      <w:tr>
        <w:tc>
          <w:tcPr>
            <w:tcW w:type="dxa" w:w="900"/>
            <w:tcBorders>
              <w:top w:val="single" w:color="AAAAAA" w:sz="2"/>
              <w:left w:val="single" w:color="AAAAAA" w:sz="2"/>
              <w:bottom w:val="single" w:color="AAAAAA" w:sz="2"/>
              <w:right w:val="single" w:color="AAAAAA" w:sz="2"/>
            </w:tcBorders>
            <w:shd w:fill="EEF3FB" w:val="clear"/>
            <w:tcMar>
              <w:top w:type="dxa" w:w="80"/>
              <w:left w:type="dxa" w:w="120"/>
              <w:bottom w:type="dxa" w:w="80"/>
              <w:right w:type="dxa" w:w="120"/>
            </w:tcMar>
            <w:vAlign w:val="top"/>
          </w:tcPr>
          <w:p>
            <w:pPr>
              <w:spacing w:after="60"/>
              <w:jc w:val="center"/>
            </w:pPr>
            <w:r>
              <w:rPr>
                <w:rFonts w:ascii="Times New Roman" w:cs="Times New Roman" w:eastAsia="Times New Roman" w:hAnsi="Times New Roman"/>
                <w:sz w:val="24"/>
                <w:szCs w:val="24"/>
              </w:rPr>
              <w:t xml:space="preserve">4</w:t>
            </w:r>
          </w:p>
        </w:tc>
        <w:tc>
          <w:tcPr>
            <w:tcW w:type="dxa" w:w="2000"/>
            <w:tcBorders>
              <w:top w:val="single" w:color="AAAAAA" w:sz="2"/>
              <w:left w:val="single" w:color="AAAAAA" w:sz="2"/>
              <w:bottom w:val="single" w:color="AAAAAA" w:sz="2"/>
              <w:right w:val="single" w:color="AAAAAA" w:sz="2"/>
            </w:tcBorders>
            <w:shd w:fill="EEF3FB" w:val="clear"/>
            <w:tcMar>
              <w:top w:type="dxa" w:w="80"/>
              <w:left w:type="dxa" w:w="120"/>
              <w:bottom w:type="dxa" w:w="80"/>
              <w:right w:type="dxa" w:w="120"/>
            </w:tcMar>
            <w:vAlign w:val="top"/>
          </w:tcPr>
          <w:p>
            <w:pPr>
              <w:spacing w:after="60"/>
              <w:jc w:val="center"/>
            </w:pPr>
            <w:r>
              <w:rPr>
                <w:rFonts w:ascii="Times New Roman" w:cs="Times New Roman" w:eastAsia="Times New Roman" w:hAnsi="Times New Roman"/>
                <w:sz w:val="24"/>
                <w:szCs w:val="24"/>
              </w:rPr>
              <w:t xml:space="preserve">16/04/2026</w:t>
            </w:r>
          </w:p>
        </w:tc>
        <w:tc>
          <w:tcPr>
            <w:tcW w:type="dxa" w:w="1800"/>
            <w:tcBorders>
              <w:top w:val="single" w:color="AAAAAA" w:sz="2"/>
              <w:left w:val="single" w:color="AAAAAA" w:sz="2"/>
              <w:bottom w:val="single" w:color="AAAAAA" w:sz="2"/>
              <w:right w:val="single" w:color="AAAAAA" w:sz="2"/>
            </w:tcBorders>
            <w:shd w:fill="EEF3FB" w:val="clear"/>
            <w:tcMar>
              <w:top w:type="dxa" w:w="80"/>
              <w:left w:type="dxa" w:w="120"/>
              <w:bottom w:type="dxa" w:w="80"/>
              <w:right w:type="dxa" w:w="120"/>
            </w:tcMar>
            <w:vAlign w:val="top"/>
          </w:tcPr>
          <w:p>
            <w:pPr>
              <w:spacing w:after="60"/>
              <w:jc w:val="center"/>
            </w:pPr>
            <w:r>
              <w:rPr>
                <w:rFonts w:ascii="Times New Roman" w:cs="Times New Roman" w:eastAsia="Times New Roman" w:hAnsi="Times New Roman"/>
                <w:sz w:val="24"/>
                <w:szCs w:val="24"/>
              </w:rPr>
              <w:t xml:space="preserve">Sở Nội vụ An Giang</w:t>
            </w:r>
          </w:p>
        </w:tc>
        <w:tc>
          <w:tcPr>
            <w:tcW w:type="dxa" w:w="4326"/>
            <w:tcBorders>
              <w:top w:val="single" w:color="AAAAAA" w:sz="2"/>
              <w:left w:val="single" w:color="AAAAAA" w:sz="2"/>
              <w:bottom w:val="single" w:color="AAAAAA" w:sz="2"/>
              <w:right w:val="single" w:color="AAAAAA" w:sz="2"/>
            </w:tcBorders>
            <w:shd w:fill="EEF3FB" w:val="clear"/>
            <w:tcMar>
              <w:top w:type="dxa" w:w="80"/>
              <w:left w:type="dxa" w:w="120"/>
              <w:bottom w:type="dxa" w:w="80"/>
              <w:right w:type="dxa" w:w="120"/>
            </w:tcMar>
            <w:vAlign w:val="top"/>
          </w:tcPr>
          <w:p>
            <w:pPr>
              <w:spacing w:after="60"/>
              <w:jc w:val="both"/>
            </w:pPr>
            <w:r>
              <w:rPr>
                <w:rFonts w:ascii="Times New Roman" w:cs="Times New Roman" w:eastAsia="Times New Roman" w:hAnsi="Times New Roman"/>
                <w:sz w:val="24"/>
                <w:szCs w:val="24"/>
              </w:rPr>
              <w:t xml:space="preserve">Phát hành Văn bản trả lời Yêu cầu làm rõ chính thức (đính kèm CV ITDJ) — trở thành bộ phận không tách rời của E-HSMT</w:t>
            </w:r>
          </w:p>
        </w:tc>
      </w:tr>
      <w:tr>
        <w:tc>
          <w:tcPr>
            <w:tcW w:type="dxa" w:w="900"/>
            <w:tcBorders>
              <w:top w:val="single" w:color="AAAAAA" w:sz="2"/>
              <w:left w:val="single" w:color="AAAAAA" w:sz="2"/>
              <w:bottom w:val="single" w:color="AAAAAA" w:sz="2"/>
              <w:right w:val="single" w:color="AAAAAA" w:sz="2"/>
            </w:tcBorders>
            <w:tcMar>
              <w:top w:type="dxa" w:w="80"/>
              <w:left w:type="dxa" w:w="120"/>
              <w:bottom w:type="dxa" w:w="80"/>
              <w:right w:type="dxa" w:w="120"/>
            </w:tcMar>
            <w:vAlign w:val="top"/>
          </w:tcPr>
          <w:p>
            <w:pPr>
              <w:spacing w:after="60"/>
              <w:jc w:val="center"/>
            </w:pPr>
            <w:r>
              <w:rPr>
                <w:rFonts w:ascii="Times New Roman" w:cs="Times New Roman" w:eastAsia="Times New Roman" w:hAnsi="Times New Roman"/>
                <w:sz w:val="24"/>
                <w:szCs w:val="24"/>
              </w:rPr>
              <w:t xml:space="preserve">5</w:t>
            </w:r>
          </w:p>
        </w:tc>
        <w:tc>
          <w:tcPr>
            <w:tcW w:type="dxa" w:w="2000"/>
            <w:tcBorders>
              <w:top w:val="single" w:color="AAAAAA" w:sz="2"/>
              <w:left w:val="single" w:color="AAAAAA" w:sz="2"/>
              <w:bottom w:val="single" w:color="AAAAAA" w:sz="2"/>
              <w:right w:val="single" w:color="AAAAAA" w:sz="2"/>
            </w:tcBorders>
            <w:tcMar>
              <w:top w:type="dxa" w:w="80"/>
              <w:left w:type="dxa" w:w="120"/>
              <w:bottom w:type="dxa" w:w="80"/>
              <w:right w:type="dxa" w:w="120"/>
            </w:tcMar>
            <w:vAlign w:val="top"/>
          </w:tcPr>
          <w:p>
            <w:pPr>
              <w:spacing w:after="60"/>
              <w:jc w:val="center"/>
            </w:pPr>
            <w:r>
              <w:rPr>
                <w:rFonts w:ascii="Times New Roman" w:cs="Times New Roman" w:eastAsia="Times New Roman" w:hAnsi="Times New Roman"/>
                <w:sz w:val="24"/>
                <w:szCs w:val="24"/>
              </w:rPr>
              <w:t xml:space="preserve">18/04/2026</w:t>
            </w:r>
          </w:p>
        </w:tc>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vAlign w:val="top"/>
          </w:tcPr>
          <w:p>
            <w:pPr>
              <w:spacing w:after="60"/>
              <w:jc w:val="center"/>
            </w:pPr>
            <w:r>
              <w:rPr>
                <w:rFonts w:ascii="Times New Roman" w:cs="Times New Roman" w:eastAsia="Times New Roman" w:hAnsi="Times New Roman"/>
                <w:sz w:val="24"/>
                <w:szCs w:val="24"/>
              </w:rPr>
              <w:t xml:space="preserve">Nhà thầu (ẩn danh) — Đơn số 1804/KN</w:t>
            </w:r>
          </w:p>
        </w:tc>
        <w:tc>
          <w:tcPr>
            <w:tcW w:type="dxa" w:w="4326"/>
            <w:tcBorders>
              <w:top w:val="single" w:color="AAAAAA" w:sz="2"/>
              <w:left w:val="single" w:color="AAAAAA" w:sz="2"/>
              <w:bottom w:val="single" w:color="AAAAAA" w:sz="2"/>
              <w:right w:val="single" w:color="AAAAAA" w:sz="2"/>
            </w:tcBorders>
            <w:tcMar>
              <w:top w:type="dxa" w:w="80"/>
              <w:left w:type="dxa" w:w="120"/>
              <w:bottom w:type="dxa" w:w="80"/>
              <w:right w:type="dxa" w:w="120"/>
            </w:tcMar>
            <w:vAlign w:val="top"/>
          </w:tcPr>
          <w:p>
            <w:pPr>
              <w:spacing w:after="60"/>
              <w:jc w:val="both"/>
            </w:pPr>
            <w:r>
              <w:rPr>
                <w:rFonts w:ascii="Times New Roman" w:cs="Times New Roman" w:eastAsia="Times New Roman" w:hAnsi="Times New Roman"/>
                <w:sz w:val="24"/>
                <w:szCs w:val="24"/>
              </w:rPr>
              <w:t xml:space="preserve">Đơn Kiến nghị: Yêu cầu loại bỏ chứng chỉ PCCC, An toàn lao động và chứng chỉ QLDA + phân tích dữ liệu</w:t>
            </w:r>
          </w:p>
        </w:tc>
      </w:tr>
      <w:tr>
        <w:tc>
          <w:tcPr>
            <w:tcW w:type="dxa" w:w="900"/>
            <w:tcBorders>
              <w:top w:val="single" w:color="AAAAAA" w:sz="2"/>
              <w:left w:val="single" w:color="AAAAAA" w:sz="2"/>
              <w:bottom w:val="single" w:color="AAAAAA" w:sz="2"/>
              <w:right w:val="single" w:color="AAAAAA" w:sz="2"/>
            </w:tcBorders>
            <w:shd w:fill="EEF3FB" w:val="clear"/>
            <w:tcMar>
              <w:top w:type="dxa" w:w="80"/>
              <w:left w:type="dxa" w:w="120"/>
              <w:bottom w:type="dxa" w:w="80"/>
              <w:right w:type="dxa" w:w="120"/>
            </w:tcMar>
            <w:vAlign w:val="top"/>
          </w:tcPr>
          <w:p>
            <w:pPr>
              <w:spacing w:after="60"/>
              <w:jc w:val="center"/>
            </w:pPr>
            <w:r>
              <w:rPr>
                <w:rFonts w:ascii="Times New Roman" w:cs="Times New Roman" w:eastAsia="Times New Roman" w:hAnsi="Times New Roman"/>
                <w:sz w:val="24"/>
                <w:szCs w:val="24"/>
              </w:rPr>
              <w:t xml:space="preserve">6</w:t>
            </w:r>
          </w:p>
        </w:tc>
        <w:tc>
          <w:tcPr>
            <w:tcW w:type="dxa" w:w="2000"/>
            <w:tcBorders>
              <w:top w:val="single" w:color="AAAAAA" w:sz="2"/>
              <w:left w:val="single" w:color="AAAAAA" w:sz="2"/>
              <w:bottom w:val="single" w:color="AAAAAA" w:sz="2"/>
              <w:right w:val="single" w:color="AAAAAA" w:sz="2"/>
            </w:tcBorders>
            <w:shd w:fill="EEF3FB" w:val="clear"/>
            <w:tcMar>
              <w:top w:type="dxa" w:w="80"/>
              <w:left w:type="dxa" w:w="120"/>
              <w:bottom w:type="dxa" w:w="80"/>
              <w:right w:type="dxa" w:w="120"/>
            </w:tcMar>
            <w:vAlign w:val="top"/>
          </w:tcPr>
          <w:p>
            <w:pPr>
              <w:spacing w:after="60"/>
              <w:jc w:val="center"/>
            </w:pPr>
            <w:r>
              <w:rPr>
                <w:rFonts w:ascii="Times New Roman" w:cs="Times New Roman" w:eastAsia="Times New Roman" w:hAnsi="Times New Roman"/>
                <w:sz w:val="24"/>
                <w:szCs w:val="24"/>
              </w:rPr>
              <w:t xml:space="preserve">20/04/2026</w:t>
            </w:r>
          </w:p>
        </w:tc>
        <w:tc>
          <w:tcPr>
            <w:tcW w:type="dxa" w:w="1800"/>
            <w:tcBorders>
              <w:top w:val="single" w:color="AAAAAA" w:sz="2"/>
              <w:left w:val="single" w:color="AAAAAA" w:sz="2"/>
              <w:bottom w:val="single" w:color="AAAAAA" w:sz="2"/>
              <w:right w:val="single" w:color="AAAAAA" w:sz="2"/>
            </w:tcBorders>
            <w:shd w:fill="EEF3FB" w:val="clear"/>
            <w:tcMar>
              <w:top w:type="dxa" w:w="80"/>
              <w:left w:type="dxa" w:w="120"/>
              <w:bottom w:type="dxa" w:w="80"/>
              <w:right w:type="dxa" w:w="120"/>
            </w:tcMar>
            <w:vAlign w:val="top"/>
          </w:tcPr>
          <w:p>
            <w:pPr>
              <w:spacing w:after="60"/>
              <w:jc w:val="center"/>
            </w:pPr>
            <w:r>
              <w:rPr>
                <w:rFonts w:ascii="Times New Roman" w:cs="Times New Roman" w:eastAsia="Times New Roman" w:hAnsi="Times New Roman"/>
                <w:sz w:val="24"/>
                <w:szCs w:val="24"/>
              </w:rPr>
              <w:t xml:space="preserve">Tổ Chuyên gia ITDJ</w:t>
            </w:r>
          </w:p>
        </w:tc>
        <w:tc>
          <w:tcPr>
            <w:tcW w:type="dxa" w:w="4326"/>
            <w:tcBorders>
              <w:top w:val="single" w:color="AAAAAA" w:sz="2"/>
              <w:left w:val="single" w:color="AAAAAA" w:sz="2"/>
              <w:bottom w:val="single" w:color="AAAAAA" w:sz="2"/>
              <w:right w:val="single" w:color="AAAAAA" w:sz="2"/>
            </w:tcBorders>
            <w:shd w:fill="EEF3FB" w:val="clear"/>
            <w:tcMar>
              <w:top w:type="dxa" w:w="80"/>
              <w:left w:type="dxa" w:w="120"/>
              <w:bottom w:type="dxa" w:w="80"/>
              <w:right w:type="dxa" w:w="120"/>
            </w:tcMar>
            <w:vAlign w:val="top"/>
          </w:tcPr>
          <w:p>
            <w:pPr>
              <w:spacing w:after="60"/>
              <w:jc w:val="both"/>
            </w:pPr>
            <w:r>
              <w:rPr>
                <w:rFonts w:ascii="Times New Roman" w:cs="Times New Roman" w:eastAsia="Times New Roman" w:hAnsi="Times New Roman"/>
                <w:sz w:val="24"/>
                <w:szCs w:val="24"/>
              </w:rPr>
              <w:t xml:space="preserve">Công văn số 0420/2026/CV-ITDJ-SNVAG: Phản hồi, bác bỏ toàn bộ Đơn kiến nghị 1804/KN — giữ nguyên E-HSMT</w:t>
            </w:r>
          </w:p>
        </w:tc>
      </w:tr>
      <w:tr>
        <w:tc>
          <w:tcPr>
            <w:tcW w:type="dxa" w:w="900"/>
            <w:tcBorders>
              <w:top w:val="single" w:color="AAAAAA" w:sz="2"/>
              <w:left w:val="single" w:color="AAAAAA" w:sz="2"/>
              <w:bottom w:val="single" w:color="AAAAAA" w:sz="2"/>
              <w:right w:val="single" w:color="AAAAAA" w:sz="2"/>
            </w:tcBorders>
            <w:tcMar>
              <w:top w:type="dxa" w:w="80"/>
              <w:left w:type="dxa" w:w="120"/>
              <w:bottom w:type="dxa" w:w="80"/>
              <w:right w:type="dxa" w:w="120"/>
            </w:tcMar>
            <w:vAlign w:val="top"/>
          </w:tcPr>
          <w:p>
            <w:pPr>
              <w:spacing w:after="60"/>
              <w:jc w:val="center"/>
            </w:pPr>
            <w:r>
              <w:rPr>
                <w:rFonts w:ascii="Times New Roman" w:cs="Times New Roman" w:eastAsia="Times New Roman" w:hAnsi="Times New Roman"/>
                <w:sz w:val="24"/>
                <w:szCs w:val="24"/>
              </w:rPr>
              <w:t xml:space="preserve">7</w:t>
            </w:r>
          </w:p>
        </w:tc>
        <w:tc>
          <w:tcPr>
            <w:tcW w:type="dxa" w:w="2000"/>
            <w:tcBorders>
              <w:top w:val="single" w:color="AAAAAA" w:sz="2"/>
              <w:left w:val="single" w:color="AAAAAA" w:sz="2"/>
              <w:bottom w:val="single" w:color="AAAAAA" w:sz="2"/>
              <w:right w:val="single" w:color="AAAAAA" w:sz="2"/>
            </w:tcBorders>
            <w:tcMar>
              <w:top w:type="dxa" w:w="80"/>
              <w:left w:type="dxa" w:w="120"/>
              <w:bottom w:type="dxa" w:w="80"/>
              <w:right w:type="dxa" w:w="120"/>
            </w:tcMar>
            <w:vAlign w:val="top"/>
          </w:tcPr>
          <w:p>
            <w:pPr>
              <w:spacing w:after="60"/>
              <w:jc w:val="center"/>
            </w:pPr>
            <w:r>
              <w:rPr>
                <w:rFonts w:ascii="Times New Roman" w:cs="Times New Roman" w:eastAsia="Times New Roman" w:hAnsi="Times New Roman"/>
                <w:sz w:val="24"/>
                <w:szCs w:val="24"/>
              </w:rPr>
              <w:t xml:space="preserve">20/04/2026</w:t>
            </w:r>
          </w:p>
        </w:tc>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vAlign w:val="top"/>
          </w:tcPr>
          <w:p>
            <w:pPr>
              <w:spacing w:after="60"/>
              <w:jc w:val="center"/>
            </w:pPr>
            <w:r>
              <w:rPr>
                <w:rFonts w:ascii="Times New Roman" w:cs="Times New Roman" w:eastAsia="Times New Roman" w:hAnsi="Times New Roman"/>
                <w:sz w:val="24"/>
                <w:szCs w:val="24"/>
              </w:rPr>
              <w:t xml:space="preserve">Công ty CP HINNOVA</w:t>
            </w:r>
          </w:p>
        </w:tc>
        <w:tc>
          <w:tcPr>
            <w:tcW w:type="dxa" w:w="4326"/>
            <w:tcBorders>
              <w:top w:val="single" w:color="AAAAAA" w:sz="2"/>
              <w:left w:val="single" w:color="AAAAAA" w:sz="2"/>
              <w:bottom w:val="single" w:color="AAAAAA" w:sz="2"/>
              <w:right w:val="single" w:color="AAAAAA" w:sz="2"/>
            </w:tcBorders>
            <w:tcMar>
              <w:top w:type="dxa" w:w="80"/>
              <w:left w:type="dxa" w:w="120"/>
              <w:bottom w:type="dxa" w:w="80"/>
              <w:right w:type="dxa" w:w="120"/>
            </w:tcMar>
            <w:vAlign w:val="top"/>
          </w:tcPr>
          <w:p>
            <w:pPr>
              <w:spacing w:after="60"/>
              <w:jc w:val="both"/>
            </w:pPr>
            <w:r>
              <w:rPr>
                <w:rFonts w:ascii="Times New Roman" w:cs="Times New Roman" w:eastAsia="Times New Roman" w:hAnsi="Times New Roman"/>
                <w:sz w:val="24"/>
                <w:szCs w:val="24"/>
              </w:rPr>
              <w:t xml:space="preserve">Nộp 02 văn bản Ý kiến bảo lưu trong HSDT: (1) Về tiêu chí kỹ thuật (bản quyền, demo); (2) Về tiêu chí nhân sự chủ chốt (PCCC, phân tích dữ liệu)</w:t>
            </w:r>
          </w:p>
        </w:tc>
      </w:tr>
      <w:tr>
        <w:tc>
          <w:tcPr>
            <w:tcW w:type="dxa" w:w="900"/>
            <w:tcBorders>
              <w:top w:val="single" w:color="AAAAAA" w:sz="2"/>
              <w:left w:val="single" w:color="AAAAAA" w:sz="2"/>
              <w:bottom w:val="single" w:color="AAAAAA" w:sz="2"/>
              <w:right w:val="single" w:color="AAAAAA" w:sz="2"/>
            </w:tcBorders>
            <w:shd w:fill="EEF3FB" w:val="clear"/>
            <w:tcMar>
              <w:top w:type="dxa" w:w="80"/>
              <w:left w:type="dxa" w:w="120"/>
              <w:bottom w:type="dxa" w:w="80"/>
              <w:right w:type="dxa" w:w="120"/>
            </w:tcMar>
            <w:vAlign w:val="top"/>
          </w:tcPr>
          <w:p>
            <w:pPr>
              <w:spacing w:after="60"/>
              <w:jc w:val="center"/>
            </w:pPr>
            <w:r>
              <w:rPr>
                <w:rFonts w:ascii="Times New Roman" w:cs="Times New Roman" w:eastAsia="Times New Roman" w:hAnsi="Times New Roman"/>
                <w:sz w:val="24"/>
                <w:szCs w:val="24"/>
              </w:rPr>
              <w:t xml:space="preserve">8</w:t>
            </w:r>
          </w:p>
        </w:tc>
        <w:tc>
          <w:tcPr>
            <w:tcW w:type="dxa" w:w="2000"/>
            <w:tcBorders>
              <w:top w:val="single" w:color="AAAAAA" w:sz="2"/>
              <w:left w:val="single" w:color="AAAAAA" w:sz="2"/>
              <w:bottom w:val="single" w:color="AAAAAA" w:sz="2"/>
              <w:right w:val="single" w:color="AAAAAA" w:sz="2"/>
            </w:tcBorders>
            <w:shd w:fill="EEF3FB" w:val="clear"/>
            <w:tcMar>
              <w:top w:type="dxa" w:w="80"/>
              <w:left w:type="dxa" w:w="120"/>
              <w:bottom w:type="dxa" w:w="80"/>
              <w:right w:type="dxa" w:w="120"/>
            </w:tcMar>
            <w:vAlign w:val="top"/>
          </w:tcPr>
          <w:p>
            <w:pPr>
              <w:spacing w:after="60"/>
              <w:jc w:val="center"/>
            </w:pPr>
            <w:r>
              <w:rPr>
                <w:rFonts w:ascii="Times New Roman" w:cs="Times New Roman" w:eastAsia="Times New Roman" w:hAnsi="Times New Roman"/>
                <w:sz w:val="24"/>
                <w:szCs w:val="24"/>
              </w:rPr>
              <w:t xml:space="preserve">21/04/2026</w:t>
            </w:r>
          </w:p>
        </w:tc>
        <w:tc>
          <w:tcPr>
            <w:tcW w:type="dxa" w:w="1800"/>
            <w:tcBorders>
              <w:top w:val="single" w:color="AAAAAA" w:sz="2"/>
              <w:left w:val="single" w:color="AAAAAA" w:sz="2"/>
              <w:bottom w:val="single" w:color="AAAAAA" w:sz="2"/>
              <w:right w:val="single" w:color="AAAAAA" w:sz="2"/>
            </w:tcBorders>
            <w:shd w:fill="EEF3FB" w:val="clear"/>
            <w:tcMar>
              <w:top w:type="dxa" w:w="80"/>
              <w:left w:type="dxa" w:w="120"/>
              <w:bottom w:type="dxa" w:w="80"/>
              <w:right w:type="dxa" w:w="120"/>
            </w:tcMar>
            <w:vAlign w:val="top"/>
          </w:tcPr>
          <w:p>
            <w:pPr>
              <w:spacing w:after="60"/>
              <w:jc w:val="center"/>
            </w:pPr>
            <w:r>
              <w:rPr>
                <w:rFonts w:ascii="Times New Roman" w:cs="Times New Roman" w:eastAsia="Times New Roman" w:hAnsi="Times New Roman"/>
                <w:sz w:val="24"/>
                <w:szCs w:val="24"/>
              </w:rPr>
              <w:t xml:space="preserve">Nhà thầu (ẩn danh)</w:t>
            </w:r>
          </w:p>
        </w:tc>
        <w:tc>
          <w:tcPr>
            <w:tcW w:type="dxa" w:w="4326"/>
            <w:tcBorders>
              <w:top w:val="single" w:color="AAAAAA" w:sz="2"/>
              <w:left w:val="single" w:color="AAAAAA" w:sz="2"/>
              <w:bottom w:val="single" w:color="AAAAAA" w:sz="2"/>
              <w:right w:val="single" w:color="AAAAAA" w:sz="2"/>
            </w:tcBorders>
            <w:shd w:fill="EEF3FB" w:val="clear"/>
            <w:tcMar>
              <w:top w:type="dxa" w:w="80"/>
              <w:left w:type="dxa" w:w="120"/>
              <w:bottom w:type="dxa" w:w="80"/>
              <w:right w:type="dxa" w:w="120"/>
            </w:tcMar>
            <w:vAlign w:val="top"/>
          </w:tcPr>
          <w:p>
            <w:pPr>
              <w:spacing w:after="60"/>
              <w:jc w:val="both"/>
            </w:pPr>
            <w:r>
              <w:rPr>
                <w:rFonts w:ascii="Times New Roman" w:cs="Times New Roman" w:eastAsia="Times New Roman" w:hAnsi="Times New Roman"/>
                <w:sz w:val="24"/>
                <w:szCs w:val="24"/>
              </w:rPr>
              <w:t xml:space="preserve">Kiến nghị E-HSMT lần 2: Yêu cầu vô hiệu tiêu chí bản quyền phần mềm và yêu cầu demo 05 ngày</w:t>
            </w:r>
          </w:p>
        </w:tc>
      </w:tr>
      <w:tr>
        <w:tc>
          <w:tcPr>
            <w:tcW w:type="dxa" w:w="900"/>
            <w:tcBorders>
              <w:top w:val="single" w:color="AAAAAA" w:sz="2"/>
              <w:left w:val="single" w:color="AAAAAA" w:sz="2"/>
              <w:bottom w:val="single" w:color="AAAAAA" w:sz="2"/>
              <w:right w:val="single" w:color="AAAAAA" w:sz="2"/>
            </w:tcBorders>
            <w:tcMar>
              <w:top w:type="dxa" w:w="80"/>
              <w:left w:type="dxa" w:w="120"/>
              <w:bottom w:type="dxa" w:w="80"/>
              <w:right w:type="dxa" w:w="120"/>
            </w:tcMar>
            <w:vAlign w:val="top"/>
          </w:tcPr>
          <w:p>
            <w:pPr>
              <w:spacing w:after="60"/>
              <w:jc w:val="center"/>
            </w:pPr>
            <w:r>
              <w:rPr>
                <w:rFonts w:ascii="Times New Roman" w:cs="Times New Roman" w:eastAsia="Times New Roman" w:hAnsi="Times New Roman"/>
                <w:sz w:val="24"/>
                <w:szCs w:val="24"/>
              </w:rPr>
              <w:t xml:space="preserve">9</w:t>
            </w:r>
          </w:p>
        </w:tc>
        <w:tc>
          <w:tcPr>
            <w:tcW w:type="dxa" w:w="2000"/>
            <w:tcBorders>
              <w:top w:val="single" w:color="AAAAAA" w:sz="2"/>
              <w:left w:val="single" w:color="AAAAAA" w:sz="2"/>
              <w:bottom w:val="single" w:color="AAAAAA" w:sz="2"/>
              <w:right w:val="single" w:color="AAAAAA" w:sz="2"/>
            </w:tcBorders>
            <w:tcMar>
              <w:top w:type="dxa" w:w="80"/>
              <w:left w:type="dxa" w:w="120"/>
              <w:bottom w:type="dxa" w:w="80"/>
              <w:right w:type="dxa" w:w="120"/>
            </w:tcMar>
            <w:vAlign w:val="top"/>
          </w:tcPr>
          <w:p>
            <w:pPr>
              <w:spacing w:after="60"/>
              <w:jc w:val="center"/>
            </w:pPr>
            <w:r>
              <w:rPr>
                <w:rFonts w:ascii="Times New Roman" w:cs="Times New Roman" w:eastAsia="Times New Roman" w:hAnsi="Times New Roman"/>
                <w:sz w:val="24"/>
                <w:szCs w:val="24"/>
              </w:rPr>
              <w:t xml:space="preserve">22/04/2026</w:t>
            </w:r>
          </w:p>
        </w:tc>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vAlign w:val="top"/>
          </w:tcPr>
          <w:p>
            <w:pPr>
              <w:spacing w:after="60"/>
              <w:jc w:val="center"/>
            </w:pPr>
            <w:r>
              <w:rPr>
                <w:rFonts w:ascii="Times New Roman" w:cs="Times New Roman" w:eastAsia="Times New Roman" w:hAnsi="Times New Roman"/>
                <w:sz w:val="24"/>
                <w:szCs w:val="24"/>
              </w:rPr>
              <w:t xml:space="preserve">Tổ Chuyên gia ITDJ</w:t>
            </w:r>
          </w:p>
        </w:tc>
        <w:tc>
          <w:tcPr>
            <w:tcW w:type="dxa" w:w="4326"/>
            <w:tcBorders>
              <w:top w:val="single" w:color="AAAAAA" w:sz="2"/>
              <w:left w:val="single" w:color="AAAAAA" w:sz="2"/>
              <w:bottom w:val="single" w:color="AAAAAA" w:sz="2"/>
              <w:right w:val="single" w:color="AAAAAA" w:sz="2"/>
            </w:tcBorders>
            <w:tcMar>
              <w:top w:type="dxa" w:w="80"/>
              <w:left w:type="dxa" w:w="120"/>
              <w:bottom w:type="dxa" w:w="80"/>
              <w:right w:type="dxa" w:w="120"/>
            </w:tcMar>
            <w:vAlign w:val="top"/>
          </w:tcPr>
          <w:p>
            <w:pPr>
              <w:spacing w:after="60"/>
              <w:jc w:val="both"/>
            </w:pPr>
            <w:r>
              <w:rPr>
                <w:rFonts w:ascii="Times New Roman" w:cs="Times New Roman" w:eastAsia="Times New Roman" w:hAnsi="Times New Roman"/>
                <w:sz w:val="24"/>
                <w:szCs w:val="24"/>
              </w:rPr>
              <w:t xml:space="preserve">Công văn số 0422/2026/CV-ITDJ-SNVAG: Phản hồi, bác bỏ kiến nghị về bản quyền và demo — giữ nguyên E-HSMT</w:t>
            </w:r>
          </w:p>
        </w:tc>
      </w:tr>
    </w:tbl>
    <w:p>
      <w:pPr>
        <w:spacing w:after="60"/>
      </w:pPr>
      <w:r>
        <w:rPr>
          <w:rFonts w:ascii="Times New Roman" w:cs="Times New Roman" w:eastAsia="Times New Roman" w:hAnsi="Times New Roman"/>
          <w:sz w:val="24"/>
          <w:szCs w:val="24"/>
        </w:rPr>
        <w:t xml:space="preserve"/>
      </w:r>
    </w:p>
    <w:p>
      <w:pPr>
        <w:spacing w:after="0"/>
      </w:pPr>
      <w:r>
        <w:br w:type="page"/>
      </w:r>
    </w:p>
    <w:p>
      <w:pPr>
        <w:pStyle w:val="Heading1"/>
        <w:spacing w:after="120" w:before="200"/>
        <w:jc w:val="center"/>
      </w:pPr>
      <w:r>
        <w:rPr>
          <w:rFonts w:ascii="Times New Roman" w:cs="Times New Roman" w:eastAsia="Times New Roman" w:hAnsi="Times New Roman"/>
          <w:b/>
          <w:bCs/>
          <w:sz w:val="26"/>
          <w:szCs w:val="26"/>
        </w:rPr>
        <w:t xml:space="preserve">III. GIẢI TRÌNH ĐẦY ĐỦ CÁC NỘI DUNG KIẾN NGHỊ VÀ LẬP LUẬN PHẢN BÁC</w:t>
      </w:r>
    </w:p>
    <w:p>
      <w:pPr>
        <w:pStyle w:val="Heading2"/>
        <w:spacing w:after="120" w:before="200"/>
        <w:jc w:val="left"/>
      </w:pPr>
      <w:r>
        <w:rPr>
          <w:rFonts w:ascii="Times New Roman" w:cs="Times New Roman" w:eastAsia="Times New Roman" w:hAnsi="Times New Roman"/>
          <w:b/>
          <w:bCs/>
          <w:sz w:val="24"/>
          <w:szCs w:val="24"/>
        </w:rPr>
        <w:t xml:space="preserve">1. Về yêu cầu chứng chỉ/chứng nhận Phòng cháy chữa cháy (PCCC) và An toàn lao động</w:t>
      </w:r>
    </w:p>
    <w:p>
      <w:pPr>
        <w:spacing w:after="120"/>
        <w:ind/>
        <w:jc w:val="both"/>
      </w:pPr>
      <w:r>
        <w:rPr>
          <w:rFonts w:ascii="Times New Roman" w:cs="Times New Roman" w:eastAsia="Times New Roman" w:hAnsi="Times New Roman"/>
          <w:b/>
          <w:bCs/>
          <w:sz w:val="24"/>
          <w:szCs w:val="24"/>
        </w:rPr>
        <w:t xml:space="preserve">a) Nội dung kiến nghị của nhà thầu:</w:t>
      </w:r>
    </w:p>
    <w:p>
      <w:pPr>
        <w:spacing w:after="120"/>
        <w:ind/>
        <w:jc w:val="both"/>
      </w:pPr>
      <w:r>
        <w:rPr>
          <w:rFonts w:ascii="Times New Roman" w:cs="Times New Roman" w:eastAsia="Times New Roman" w:hAnsi="Times New Roman"/>
          <w:sz w:val="24"/>
          <w:szCs w:val="24"/>
        </w:rPr>
        <w:t xml:space="preserve">Nhà thầu cho rằng nhân sự CNTT không thuộc đối tượng bắt buộc có chứng chỉ PCCC và An toàn lao động theo Luật số 55/2024/QH15 và Luật số 84/2015/QH13, do đây là gói thầu phần mềm không liên quan đến thi công hay vận hành thiết bị nguy hiểm.</w:t>
      </w:r>
    </w:p>
    <w:p>
      <w:pPr>
        <w:spacing w:after="120"/>
        <w:ind/>
        <w:jc w:val="both"/>
      </w:pPr>
      <w:r>
        <w:rPr>
          <w:rFonts w:ascii="Times New Roman" w:cs="Times New Roman" w:eastAsia="Times New Roman" w:hAnsi="Times New Roman"/>
          <w:b/>
          <w:bCs/>
          <w:sz w:val="24"/>
          <w:szCs w:val="24"/>
        </w:rPr>
        <w:t xml:space="preserve">b) Căn cứ pháp lý và lập luận phản bác:</w:t>
      </w:r>
    </w:p>
    <w:p>
      <w:pPr>
        <w:spacing w:after="120"/>
        <w:ind/>
        <w:jc w:val="both"/>
      </w:pPr>
      <w:r>
        <w:rPr>
          <w:rFonts w:ascii="Times New Roman" w:cs="Times New Roman" w:eastAsia="Times New Roman" w:hAnsi="Times New Roman"/>
          <w:sz w:val="24"/>
          <w:szCs w:val="24"/>
        </w:rPr>
        <w:t xml:space="preserve">Thứ nhất, về bản chất triển khai thực địa: Gói thầu số 05 không phải gói thầu phát triển phần mềm thuần túy tại văn phòng. Phạm vi công việc theo E-HSMT bao gồm triển khai, cài đặt, cấu hình hệ thống trực tiếp tại các cơ quan nhà nước cấp huyện, xã trên toàn tỉnh An Giang. Nhân sự thực tế làm việc trong các phòng máy chủ, tủ rack, trung tâm dữ liệu cấp cơ sở — môi trường có nguy cơ về hệ thống điện, cháy nổ thiết bị điện tử.</w:t>
      </w:r>
    </w:p>
    <w:p>
      <w:pPr>
        <w:spacing w:after="120"/>
        <w:ind/>
        <w:jc w:val="both"/>
      </w:pPr>
      <w:r>
        <w:rPr>
          <w:rFonts w:ascii="Times New Roman" w:cs="Times New Roman" w:eastAsia="Times New Roman" w:hAnsi="Times New Roman"/>
          <w:sz w:val="24"/>
          <w:szCs w:val="24"/>
        </w:rPr>
        <w:t xml:space="preserve">Thứ hai, về mục đích của tiêu chí: Yêu cầu chứng nhận PCCC và An toàn lao động không đặt ra điều kiện hành nghề chuyên ngành PCCC, mà chỉ đảm bảo nhân sự có nhận thức về quy trình an toàn cơ bản khi làm việc tại cơ sở nhà nước. Đây là yêu cầu bảo vệ chính nhân sự thực hiện hợp đồng và tài sản công trong quá trình triển khai.</w:t>
      </w:r>
    </w:p>
    <w:p>
      <w:pPr>
        <w:spacing w:after="120"/>
        <w:ind/>
        <w:jc w:val="both"/>
      </w:pPr>
      <w:r>
        <w:rPr>
          <w:rFonts w:ascii="Times New Roman" w:cs="Times New Roman" w:eastAsia="Times New Roman" w:hAnsi="Times New Roman"/>
          <w:sz w:val="24"/>
          <w:szCs w:val="24"/>
        </w:rPr>
        <w:t xml:space="preserve">Thứ ba, về tính phổ quát: Chứng nhận huấn luyện PCCC và An toàn lao động cơ bản là loại chứng nhận dễ đạt được, không đòi hỏi chuyên môn sâu, không phân biệt ngành nghề. Bất kỳ doanh nghiệp CNTT có nhân sự đi triển khai thực địa đều có thể đáp ứng thông qua các khóa huấn luyện ngắn hạn. Nhà thầu không cung cấp bằng chứng nào về việc tiêu chí này tạo lợi thế cho một nhà thầu cụ thể.</w:t>
      </w:r>
    </w:p>
    <w:p>
      <w:pPr>
        <w:spacing w:after="120"/>
        <w:ind/>
        <w:jc w:val="both"/>
      </w:pPr>
      <w:r>
        <w:rPr>
          <w:rFonts w:ascii="Times New Roman" w:cs="Times New Roman" w:eastAsia="Times New Roman" w:hAnsi="Times New Roman"/>
          <w:sz w:val="24"/>
          <w:szCs w:val="24"/>
        </w:rPr>
        <w:t xml:space="preserve">Thứ tư, về điều kiện để kết luận vi phạm khoản 3 Điều 44 Luật Đấu thầu 2023: Cần chứng minh đồng thời (i) tiêu chí không gắn với yêu cầu thực tế của gói thầu; và (ii) có mục đích loại trừ hoặc tạo lợi thế cho nhà thầu cụ thể. Nhà thầu không đáp ứng được điều kiện nào trong hai điều kiện trên.</w:t>
      </w:r>
    </w:p>
    <w:p>
      <w:pPr>
        <w:spacing w:after="120"/>
        <w:ind/>
        <w:jc w:val="both"/>
      </w:pPr>
      <w:r>
        <w:rPr>
          <w:rFonts w:ascii="Times New Roman" w:cs="Times New Roman" w:eastAsia="Times New Roman" w:hAnsi="Times New Roman"/>
          <w:b/>
          <w:bCs/>
          <w:sz w:val="24"/>
          <w:szCs w:val="24"/>
        </w:rPr>
        <w:t xml:space="preserve">c) Kết luận:</w:t>
      </w:r>
    </w:p>
    <w:p>
      <w:pPr>
        <w:spacing w:after="120"/>
        <w:ind/>
        <w:jc w:val="both"/>
      </w:pPr>
      <w:r>
        <w:rPr>
          <w:rFonts w:ascii="Times New Roman" w:cs="Times New Roman" w:eastAsia="Times New Roman" w:hAnsi="Times New Roman"/>
          <w:sz w:val="24"/>
          <w:szCs w:val="24"/>
        </w:rPr>
        <w:t xml:space="preserve">Tiêu chí hợp lệ. E-HSMT giữ nguyên.</w:t>
      </w:r>
    </w:p>
    <w:p>
      <w:pPr>
        <w:pStyle w:val="Heading2"/>
        <w:spacing w:after="120" w:before="200"/>
        <w:jc w:val="left"/>
      </w:pPr>
      <w:r>
        <w:rPr>
          <w:rFonts w:ascii="Times New Roman" w:cs="Times New Roman" w:eastAsia="Times New Roman" w:hAnsi="Times New Roman"/>
          <w:b/>
          <w:bCs/>
          <w:sz w:val="24"/>
          <w:szCs w:val="24"/>
        </w:rPr>
        <w:t xml:space="preserve">2. Về yêu cầu chứng chỉ quản lý dự án và chứng chỉ/chứng nhận phân tích dữ liệu đối với Chủ nhiệm dự án</w:t>
      </w:r>
    </w:p>
    <w:p>
      <w:pPr>
        <w:spacing w:after="120"/>
        <w:ind/>
        <w:jc w:val="both"/>
      </w:pPr>
      <w:r>
        <w:rPr>
          <w:rFonts w:ascii="Times New Roman" w:cs="Times New Roman" w:eastAsia="Times New Roman" w:hAnsi="Times New Roman"/>
          <w:b/>
          <w:bCs/>
          <w:sz w:val="24"/>
          <w:szCs w:val="24"/>
        </w:rPr>
        <w:t xml:space="preserve">a) Nội dung kiến nghị của nhà thầu:</w:t>
      </w:r>
    </w:p>
    <w:p>
      <w:pPr>
        <w:spacing w:after="120"/>
        <w:ind/>
        <w:jc w:val="both"/>
      </w:pPr>
      <w:r>
        <w:rPr>
          <w:rFonts w:ascii="Times New Roman" w:cs="Times New Roman" w:eastAsia="Times New Roman" w:hAnsi="Times New Roman"/>
          <w:sz w:val="24"/>
          <w:szCs w:val="24"/>
        </w:rPr>
        <w:t xml:space="preserve">Nhà thầu cho rằng yêu cầu hai chứng chỉ cho một vị trí là không tương xứng, Chủ nhiệm dự án không cần năng lực phân tích dữ liệu, tiêu chí có dấu hiệu "hướng đích" theo Chỉ thị 12/CT-TTg. Ngoài ra, Công ty CP HINNOVA bổ sung lập luận rằng vị trí Trưởng nhóm phân tích lại không bị yêu cầu chứng chỉ này, thể hiện sự thiếu nhất quán.</w:t>
      </w:r>
    </w:p>
    <w:p>
      <w:pPr>
        <w:spacing w:after="120"/>
        <w:ind/>
        <w:jc w:val="both"/>
      </w:pPr>
      <w:r>
        <w:rPr>
          <w:rFonts w:ascii="Times New Roman" w:cs="Times New Roman" w:eastAsia="Times New Roman" w:hAnsi="Times New Roman"/>
          <w:b/>
          <w:bCs/>
          <w:sz w:val="24"/>
          <w:szCs w:val="24"/>
        </w:rPr>
        <w:t xml:space="preserve">b) Căn cứ pháp lý và lập luận phản bác:</w:t>
      </w:r>
    </w:p>
    <w:p>
      <w:pPr>
        <w:spacing w:after="120"/>
        <w:ind/>
        <w:jc w:val="both"/>
      </w:pPr>
      <w:r>
        <w:rPr>
          <w:rFonts w:ascii="Times New Roman" w:cs="Times New Roman" w:eastAsia="Times New Roman" w:hAnsi="Times New Roman"/>
          <w:sz w:val="24"/>
          <w:szCs w:val="24"/>
        </w:rPr>
        <w:t xml:space="preserve">Về bản chất gói thầu: Phần mềm CCHC tích hợp AI tính điểm PAR-Index, SIPAS, xếp hạng, cảnh báo là bài toán phân tích dữ liệu chuyên sâu. Chủ nhiệm dự án chịu trách nhiệm cao nhất về chất lượng đầu ra — nếu không có năng lực phân tích dữ liệu, hệ thống chỉ dừng ở mức thu thập và hiển thị số liệu, không đáp ứng được bài toán quản trị data-driven.</w:t>
      </w:r>
    </w:p>
    <w:p>
      <w:pPr>
        <w:spacing w:after="120"/>
        <w:ind/>
        <w:jc w:val="both"/>
      </w:pPr>
      <w:r>
        <w:rPr>
          <w:rFonts w:ascii="Times New Roman" w:cs="Times New Roman" w:eastAsia="Times New Roman" w:hAnsi="Times New Roman"/>
          <w:sz w:val="24"/>
          <w:szCs w:val="24"/>
        </w:rPr>
        <w:t xml:space="preserve">Về tính linh hoạt của tiêu chí: E-HSMT chấp nhận chứng chỉ/chứng nhận từ nhiều nguồn khác nhau, bao gồm các nền tảng học trực tuyến như Coursera, edX, Google, Microsoft. Đây là tiêu chí mở, không đặc thù cho nhà thầu nào.</w:t>
      </w:r>
    </w:p>
    <w:p>
      <w:pPr>
        <w:spacing w:after="120"/>
        <w:ind/>
        <w:jc w:val="both"/>
      </w:pPr>
      <w:r>
        <w:rPr>
          <w:rFonts w:ascii="Times New Roman" w:cs="Times New Roman" w:eastAsia="Times New Roman" w:hAnsi="Times New Roman"/>
          <w:sz w:val="24"/>
          <w:szCs w:val="24"/>
        </w:rPr>
        <w:t xml:space="preserve">Về lập luận thiếu nhất quán của HINNOVA: Chủ nhiệm dự án là người chịu trách nhiệm pháp lý và chất lượng tổng thể với Chủ đầu tư. Vị trí này phải hiểu được logic nghiệp vụ để nghiệm thu, phê duyệt và đảm bảo tính chính xác của hệ thống — điều khác biệt hoàn toàn với vai trò thực thi kỹ thuật của Trưởng nhóm. Sự phân cấp trách nhiệm này là hợp lý và có cơ sở.</w:t>
      </w:r>
    </w:p>
    <w:p>
      <w:pPr>
        <w:spacing w:after="120"/>
        <w:ind/>
        <w:jc w:val="both"/>
      </w:pPr>
      <w:r>
        <w:rPr>
          <w:rFonts w:ascii="Times New Roman" w:cs="Times New Roman" w:eastAsia="Times New Roman" w:hAnsi="Times New Roman"/>
          <w:sz w:val="24"/>
          <w:szCs w:val="24"/>
        </w:rPr>
        <w:t xml:space="preserve">Về viện dẫn Chỉ thị 12/CT-TTg: Chỉ thị này yêu cầu nghiêm cấm các tiêu chí "hướng đích" cho nhà thầu thân hữu. Nhà thầu không cung cấp bằng chứng nào về sự liên hệ giữa tiêu chí và một nhà thầu cụ thể. Lập luận mang tính suy diễn, không có giá trị pháp lý.</w:t>
      </w:r>
    </w:p>
    <w:p>
      <w:pPr>
        <w:spacing w:after="120"/>
        <w:ind/>
        <w:jc w:val="both"/>
      </w:pPr>
      <w:r>
        <w:rPr>
          <w:rFonts w:ascii="Times New Roman" w:cs="Times New Roman" w:eastAsia="Times New Roman" w:hAnsi="Times New Roman"/>
          <w:b/>
          <w:bCs/>
          <w:sz w:val="24"/>
          <w:szCs w:val="24"/>
        </w:rPr>
        <w:t xml:space="preserve">c) Kết luận:</w:t>
      </w:r>
    </w:p>
    <w:p>
      <w:pPr>
        <w:spacing w:after="120"/>
        <w:ind/>
        <w:jc w:val="both"/>
      </w:pPr>
      <w:r>
        <w:rPr>
          <w:rFonts w:ascii="Times New Roman" w:cs="Times New Roman" w:eastAsia="Times New Roman" w:hAnsi="Times New Roman"/>
          <w:sz w:val="24"/>
          <w:szCs w:val="24"/>
        </w:rPr>
        <w:t xml:space="preserve">Tiêu chí hợp lệ, đã được giải trình đầy đủ tại Công văn số 0416/2026/CV-ITDJ-SNVAG. Không có luận cứ mới. E-HSMT giữ nguyên.</w:t>
      </w:r>
    </w:p>
    <w:p>
      <w:pPr>
        <w:pStyle w:val="Heading2"/>
        <w:spacing w:after="120" w:before="200"/>
        <w:jc w:val="left"/>
      </w:pPr>
      <w:r>
        <w:rPr>
          <w:rFonts w:ascii="Times New Roman" w:cs="Times New Roman" w:eastAsia="Times New Roman" w:hAnsi="Times New Roman"/>
          <w:b/>
          <w:bCs/>
          <w:sz w:val="24"/>
          <w:szCs w:val="24"/>
        </w:rPr>
        <w:t xml:space="preserve">3. Về yêu cầu tài liệu chứng minh bản quyền phần mềm</w:t>
      </w:r>
    </w:p>
    <w:p>
      <w:pPr>
        <w:spacing w:after="120"/>
        <w:ind/>
        <w:jc w:val="both"/>
      </w:pPr>
      <w:r>
        <w:rPr>
          <w:rFonts w:ascii="Times New Roman" w:cs="Times New Roman" w:eastAsia="Times New Roman" w:hAnsi="Times New Roman"/>
          <w:b/>
          <w:bCs/>
          <w:sz w:val="24"/>
          <w:szCs w:val="24"/>
        </w:rPr>
        <w:t xml:space="preserve">a) Nội dung kiến nghị của nhà thầu:</w:t>
      </w:r>
    </w:p>
    <w:p>
      <w:pPr>
        <w:spacing w:after="120"/>
        <w:ind/>
        <w:jc w:val="both"/>
      </w:pPr>
      <w:r>
        <w:rPr>
          <w:rFonts w:ascii="Times New Roman" w:cs="Times New Roman" w:eastAsia="Times New Roman" w:hAnsi="Times New Roman"/>
          <w:sz w:val="24"/>
          <w:szCs w:val="24"/>
        </w:rPr>
        <w:t xml:space="preserve">Nhà thầu lập luận rằng đây là phần mềm nội bộ chưa tồn tại tại thời điểm dự thầu, do đó không thể có bản quyền. Viện dẫn khoản 13 Điều 3 Nghị định 45/2026/NĐ-CP và quy định pháp luật sở hữu trí tuệ để cho rằng tiêu chí này hạn chế cạnh tranh.</w:t>
      </w:r>
    </w:p>
    <w:p>
      <w:pPr>
        <w:spacing w:after="120"/>
        <w:ind/>
        <w:jc w:val="both"/>
      </w:pPr>
      <w:r>
        <w:rPr>
          <w:rFonts w:ascii="Times New Roman" w:cs="Times New Roman" w:eastAsia="Times New Roman" w:hAnsi="Times New Roman"/>
          <w:b/>
          <w:bCs/>
          <w:sz w:val="24"/>
          <w:szCs w:val="24"/>
        </w:rPr>
        <w:t xml:space="preserve">b) Căn cứ pháp lý và lập luận phản bác:</w:t>
      </w:r>
    </w:p>
    <w:p>
      <w:pPr>
        <w:spacing w:after="120"/>
        <w:ind/>
        <w:jc w:val="both"/>
      </w:pPr>
      <w:r>
        <w:rPr>
          <w:rFonts w:ascii="Times New Roman" w:cs="Times New Roman" w:eastAsia="Times New Roman" w:hAnsi="Times New Roman"/>
          <w:sz w:val="24"/>
          <w:szCs w:val="24"/>
        </w:rPr>
        <w:t xml:space="preserve">Về bản chất gói thầu: Gói thầu số 05 là nâng cấp, mở rộng phần mềm CCHC đã vận hành thực tế tại cấp tỉnh, huyện — không phải xây dựng mới từ đầu. Nền tảng phần mềm cốt lõi đã tồn tại, đã được định hình và hoàn toàn có thể đăng ký bản quyền. Nhà thầu tham dự cần chứng minh mình sở hữu hoặc có quyền sử dụng hợp pháp đối với nền tảng đó.</w:t>
      </w:r>
    </w:p>
    <w:p>
      <w:pPr>
        <w:spacing w:after="120"/>
        <w:ind/>
        <w:jc w:val="both"/>
      </w:pPr>
      <w:r>
        <w:rPr>
          <w:rFonts w:ascii="Times New Roman" w:cs="Times New Roman" w:eastAsia="Times New Roman" w:hAnsi="Times New Roman"/>
          <w:sz w:val="24"/>
          <w:szCs w:val="24"/>
        </w:rPr>
        <w:t xml:space="preserve">Về mục đích bảo vệ Nhà nước: Phần mềm triển khai tại cơ quan nhà nước phải minh bạch về chủ sở hữu quyền tác giả. Nếu không có bản quyền rõ ràng, cơ quan nhà nước có nguy cơ sử dụng sản phẩm vi phạm sở hữu trí tuệ hoặc bị tranh chấp pháp lý sau nghiệm thu.</w:t>
      </w:r>
    </w:p>
    <w:p>
      <w:pPr>
        <w:spacing w:after="120"/>
        <w:ind/>
        <w:jc w:val="both"/>
      </w:pPr>
      <w:r>
        <w:rPr>
          <w:rFonts w:ascii="Times New Roman" w:cs="Times New Roman" w:eastAsia="Times New Roman" w:hAnsi="Times New Roman"/>
          <w:sz w:val="24"/>
          <w:szCs w:val="24"/>
        </w:rPr>
        <w:t xml:space="preserve">Về tính linh hoạt: E-HSMT chấp nhận nhiều dạng tài liệu tương đương, bao gồm: giấy chứng nhận đăng ký bản quyền; biên nhận tiếp nhận hồ sơ đăng ký bản quyền; hợp đồng chuyển nhượng/cấp phép quyền sử dụng phần mềm có công chứng; văn bản ủy quyền phân phối hợp lệ từ chủ sở hữu. Nhà thầu không cần là chủ sở hữu trực tiếp — văn bản ủy quyền phân phối từ chủ sở hữu phần mềm gốc là đủ điều kiện.</w:t>
      </w:r>
    </w:p>
    <w:p>
      <w:pPr>
        <w:spacing w:after="120"/>
        <w:ind/>
        <w:jc w:val="both"/>
      </w:pPr>
      <w:r>
        <w:rPr>
          <w:rFonts w:ascii="Times New Roman" w:cs="Times New Roman" w:eastAsia="Times New Roman" w:hAnsi="Times New Roman"/>
          <w:sz w:val="24"/>
          <w:szCs w:val="24"/>
        </w:rPr>
        <w:t xml:space="preserve">Về viện dẫn Nghị định 45/2026/NĐ-CP: Nghị định này định nghĩa phần mềm nội bộ nhằm phân loại hình thức mua sắm CNTT, không phải để miễn trừ nghĩa vụ chứng minh bản quyền. Định nghĩa cũng xác nhận phần mềm nội bộ bao gồm trường hợp "nâng cấp, mở rộng" — tức là xây dựng trên nền tảng đã có sẵn và đã có bản quyền.</w:t>
      </w:r>
    </w:p>
    <w:p>
      <w:pPr>
        <w:spacing w:after="120"/>
        <w:ind/>
        <w:jc w:val="both"/>
      </w:pPr>
      <w:r>
        <w:rPr>
          <w:rFonts w:ascii="Times New Roman" w:cs="Times New Roman" w:eastAsia="Times New Roman" w:hAnsi="Times New Roman"/>
          <w:b/>
          <w:bCs/>
          <w:sz w:val="24"/>
          <w:szCs w:val="24"/>
        </w:rPr>
        <w:t xml:space="preserve">c) Kết luận:</w:t>
      </w:r>
    </w:p>
    <w:p>
      <w:pPr>
        <w:spacing w:after="120"/>
        <w:ind/>
        <w:jc w:val="both"/>
      </w:pPr>
      <w:r>
        <w:rPr>
          <w:rFonts w:ascii="Times New Roman" w:cs="Times New Roman" w:eastAsia="Times New Roman" w:hAnsi="Times New Roman"/>
          <w:sz w:val="24"/>
          <w:szCs w:val="24"/>
        </w:rPr>
        <w:t xml:space="preserve">Tiêu chí hợp lệ, hợp lý và cần thiết. Trường hợp chưa đáp ứng, nhà thầu có thể nộp văn bản ủy quyền hợp lệ hoặc tham gia theo hình thức liên danh. E-HSMT giữ nguyên.</w:t>
      </w:r>
    </w:p>
    <w:p>
      <w:pPr>
        <w:pStyle w:val="Heading2"/>
        <w:spacing w:after="120" w:before="200"/>
        <w:jc w:val="left"/>
      </w:pPr>
      <w:r>
        <w:rPr>
          <w:rFonts w:ascii="Times New Roman" w:cs="Times New Roman" w:eastAsia="Times New Roman" w:hAnsi="Times New Roman"/>
          <w:b/>
          <w:bCs/>
          <w:sz w:val="24"/>
          <w:szCs w:val="24"/>
        </w:rPr>
        <w:t xml:space="preserve">4. Về yêu cầu demo sản phẩm/giải pháp kỹ thuật trong 05 ngày làm việc</w:t>
      </w:r>
    </w:p>
    <w:p>
      <w:pPr>
        <w:spacing w:after="120"/>
        <w:ind/>
        <w:jc w:val="both"/>
      </w:pPr>
      <w:r>
        <w:rPr>
          <w:rFonts w:ascii="Times New Roman" w:cs="Times New Roman" w:eastAsia="Times New Roman" w:hAnsi="Times New Roman"/>
          <w:b/>
          <w:bCs/>
          <w:sz w:val="24"/>
          <w:szCs w:val="24"/>
        </w:rPr>
        <w:t xml:space="preserve">a) Nội dung kiến nghị của nhà thầu:</w:t>
      </w:r>
    </w:p>
    <w:p>
      <w:pPr>
        <w:spacing w:after="120"/>
        <w:ind/>
        <w:jc w:val="both"/>
      </w:pPr>
      <w:r>
        <w:rPr>
          <w:rFonts w:ascii="Times New Roman" w:cs="Times New Roman" w:eastAsia="Times New Roman" w:hAnsi="Times New Roman"/>
          <w:sz w:val="24"/>
          <w:szCs w:val="24"/>
        </w:rPr>
        <w:t xml:space="preserve">Nhà thầu cho rằng thời hạn 05 ngày quá ngắn, yêu cầu demo tương đương "hàng mẫu phần mềm" gây bất lợi cho nhà thầu xây dựng giải pháp mới, hạn chế cạnh tranh.</w:t>
      </w:r>
    </w:p>
    <w:p>
      <w:pPr>
        <w:spacing w:after="120"/>
        <w:ind/>
        <w:jc w:val="both"/>
      </w:pPr>
      <w:r>
        <w:rPr>
          <w:rFonts w:ascii="Times New Roman" w:cs="Times New Roman" w:eastAsia="Times New Roman" w:hAnsi="Times New Roman"/>
          <w:b/>
          <w:bCs/>
          <w:sz w:val="24"/>
          <w:szCs w:val="24"/>
        </w:rPr>
        <w:t xml:space="preserve">b) Căn cứ pháp lý và lập luận phản bác:</w:t>
      </w:r>
    </w:p>
    <w:p>
      <w:pPr>
        <w:spacing w:after="120"/>
        <w:ind/>
        <w:jc w:val="both"/>
      </w:pPr>
      <w:r>
        <w:rPr>
          <w:rFonts w:ascii="Times New Roman" w:cs="Times New Roman" w:eastAsia="Times New Roman" w:hAnsi="Times New Roman"/>
          <w:sz w:val="24"/>
          <w:szCs w:val="24"/>
        </w:rPr>
        <w:t xml:space="preserve">Về sự cần thiết của demo: Gói thầu có tính chất kỹ thuật phức tạp (tích hợp AI, tính điểm PAR-Index, SIPAS). Không có yêu cầu demo, Chủ đầu tư không có cơ sở khách quan để phân biệt nhà thầu có năng lực thực sự với nhà thầu chỉ có hồ sơ đẹp trên giấy. Đây là công cụ bảo vệ lợi ích Nhà nước, không phải rào cản cạnh tranh.</w:t>
      </w:r>
    </w:p>
    <w:p>
      <w:pPr>
        <w:spacing w:after="120"/>
        <w:ind/>
        <w:jc w:val="both"/>
      </w:pPr>
      <w:r>
        <w:rPr>
          <w:rFonts w:ascii="Times New Roman" w:cs="Times New Roman" w:eastAsia="Times New Roman" w:hAnsi="Times New Roman"/>
          <w:sz w:val="24"/>
          <w:szCs w:val="24"/>
        </w:rPr>
        <w:t xml:space="preserve">Về thời hạn 05 ngày: Nhà thầu đã có thời gian nghiên cứu E-HSMT trong suốt quá trình chuẩn bị hồ sơ dự thầu. Nếu thực sự làm chủ công nghệ và đã có nền tảng phần mềm — điều kiện cốt yếu của gói thầu nâng cấp này — 05 ngày là đủ để cấu hình môi trường demo và trình bày các chức năng cốt lõi, không đòi hỏi sản phẩm hoàn chỉnh 100%.</w:t>
      </w:r>
    </w:p>
    <w:p>
      <w:pPr>
        <w:spacing w:after="120"/>
        <w:ind/>
        <w:jc w:val="both"/>
      </w:pPr>
      <w:r>
        <w:rPr>
          <w:rFonts w:ascii="Times New Roman" w:cs="Times New Roman" w:eastAsia="Times New Roman" w:hAnsi="Times New Roman"/>
          <w:sz w:val="24"/>
          <w:szCs w:val="24"/>
        </w:rPr>
        <w:t xml:space="preserve">Về bản chất yêu cầu: Đây là yêu cầu "cam kết và trình bày" khi được yêu cầu, không phải nộp sản phẩm hoàn chỉnh kèm hồ sơ. Chính lập luận của nhà thầu rằng "chỉ thuận lợi cho nhà thầu đã có sẵn sản phẩm tương tự" vô tình xác nhận: gói thầu nâng cấp đòi hỏi nhà thầu phải có nền tảng phần mềm thực sự, không phải nhà thầu xây dựng mới hoàn toàn. Tiêu chí này xuất phát từ bản chất kỹ thuật, không mang tính hạn chế cạnh tranh.</w:t>
      </w:r>
    </w:p>
    <w:p>
      <w:pPr>
        <w:spacing w:after="120"/>
        <w:ind/>
        <w:jc w:val="both"/>
      </w:pPr>
      <w:r>
        <w:rPr>
          <w:rFonts w:ascii="Times New Roman" w:cs="Times New Roman" w:eastAsia="Times New Roman" w:hAnsi="Times New Roman"/>
          <w:sz w:val="24"/>
          <w:szCs w:val="24"/>
        </w:rPr>
        <w:t xml:space="preserve">Phạm vi và nội dung demo đã được quy định đầy đủ trong E-HSMT. Đề nghị nhà thầu nghiên cứu kỹ hồ sơ mời thầu để chuẩn bị phương án tham dự phù hợp.</w:t>
      </w:r>
    </w:p>
    <w:p>
      <w:pPr>
        <w:spacing w:after="120"/>
        <w:ind/>
        <w:jc w:val="both"/>
      </w:pPr>
      <w:r>
        <w:rPr>
          <w:rFonts w:ascii="Times New Roman" w:cs="Times New Roman" w:eastAsia="Times New Roman" w:hAnsi="Times New Roman"/>
          <w:b/>
          <w:bCs/>
          <w:sz w:val="24"/>
          <w:szCs w:val="24"/>
        </w:rPr>
        <w:t xml:space="preserve">c) Kết luận:</w:t>
      </w:r>
    </w:p>
    <w:p>
      <w:pPr>
        <w:spacing w:after="120"/>
        <w:ind/>
        <w:jc w:val="both"/>
      </w:pPr>
      <w:r>
        <w:rPr>
          <w:rFonts w:ascii="Times New Roman" w:cs="Times New Roman" w:eastAsia="Times New Roman" w:hAnsi="Times New Roman"/>
          <w:sz w:val="24"/>
          <w:szCs w:val="24"/>
        </w:rPr>
        <w:t xml:space="preserve">Tiêu chí hợp lệ, cần thiết và phù hợp tính chất gói thầu. E-HSMT giữ nguyên.</w:t>
      </w:r>
    </w:p>
    <w:p>
      <w:pPr>
        <w:spacing w:after="60"/>
      </w:pPr>
      <w:r>
        <w:rPr>
          <w:rFonts w:ascii="Times New Roman" w:cs="Times New Roman" w:eastAsia="Times New Roman" w:hAnsi="Times New Roman"/>
          <w:sz w:val="24"/>
          <w:szCs w:val="24"/>
        </w:rPr>
        <w:t xml:space="preserve"/>
      </w:r>
    </w:p>
    <w:p>
      <w:pPr>
        <w:spacing w:after="120"/>
        <w:ind/>
        <w:jc w:val="both"/>
      </w:pPr>
      <w:r>
        <w:rPr>
          <w:rFonts w:ascii="Times New Roman" w:cs="Times New Roman" w:eastAsia="Times New Roman" w:hAnsi="Times New Roman"/>
          <w:b/>
          <w:bCs/>
          <w:sz w:val="24"/>
          <w:szCs w:val="24"/>
        </w:rPr>
        <w:t xml:space="preserve">Bảng tổng kết kết quả xem xét kiến nghị:</w:t>
      </w:r>
    </w:p>
    <w:p>
      <w:pPr>
        <w:spacing w:after="6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626"/>
      </w:tblGrid>
      <w:tr>
        <w:trPr>
          <w:tblHeader/>
        </w:trPr>
        <w:tc>
          <w:tcPr>
            <w:tcW w:type="dxa" w:w="3400"/>
            <w:tcBorders>
              <w:top w:val="single" w:color="2E5E9E" w:sz="4"/>
              <w:left w:val="single" w:color="2E5E9E" w:sz="4"/>
              <w:bottom w:val="single" w:color="2E5E9E" w:sz="4"/>
              <w:right w:val="single" w:color="2E5E9E" w:sz="4"/>
            </w:tcBorders>
            <w:shd w:fill="2E5E9E" w:val="clear"/>
            <w:tcMar>
              <w:top w:type="dxa" w:w="80"/>
              <w:left w:type="dxa" w:w="120"/>
              <w:bottom w:type="dxa" w:w="80"/>
              <w:right w:type="dxa" w:w="120"/>
            </w:tcMar>
            <w:vAlign w:val="top"/>
          </w:tcPr>
          <w:p>
            <w:pPr>
              <w:spacing w:after="60"/>
              <w:jc w:val="both"/>
            </w:pPr>
            <w:r>
              <w:rPr>
                <w:rFonts w:ascii="Times New Roman" w:cs="Times New Roman" w:eastAsia="Times New Roman" w:hAnsi="Times New Roman"/>
                <w:b/>
                <w:bCs/>
                <w:color w:val="FFFFFF"/>
                <w:sz w:val="24"/>
                <w:szCs w:val="24"/>
              </w:rPr>
              <w:t xml:space="preserve">Nội dung kiến nghị</w:t>
            </w:r>
          </w:p>
        </w:tc>
        <w:tc>
          <w:tcPr>
            <w:tcW w:type="dxa" w:w="3000"/>
            <w:tcBorders>
              <w:top w:val="single" w:color="2E5E9E" w:sz="4"/>
              <w:left w:val="single" w:color="2E5E9E" w:sz="4"/>
              <w:bottom w:val="single" w:color="2E5E9E" w:sz="4"/>
              <w:right w:val="single" w:color="2E5E9E" w:sz="4"/>
            </w:tcBorders>
            <w:shd w:fill="2E5E9E" w:val="clear"/>
            <w:tcMar>
              <w:top w:type="dxa" w:w="80"/>
              <w:left w:type="dxa" w:w="120"/>
              <w:bottom w:type="dxa" w:w="80"/>
              <w:right w:type="dxa" w:w="120"/>
            </w:tcMar>
            <w:vAlign w:val="top"/>
          </w:tcPr>
          <w:p>
            <w:pPr>
              <w:spacing w:after="60"/>
              <w:jc w:val="both"/>
            </w:pPr>
            <w:r>
              <w:rPr>
                <w:rFonts w:ascii="Times New Roman" w:cs="Times New Roman" w:eastAsia="Times New Roman" w:hAnsi="Times New Roman"/>
                <w:b/>
                <w:bCs/>
                <w:color w:val="FFFFFF"/>
                <w:sz w:val="24"/>
                <w:szCs w:val="24"/>
              </w:rPr>
              <w:t xml:space="preserve">Căn cứ pháp lý phản bác</w:t>
            </w:r>
          </w:p>
        </w:tc>
        <w:tc>
          <w:tcPr>
            <w:tcW w:type="dxa" w:w="2626"/>
            <w:tcBorders>
              <w:top w:val="single" w:color="2E5E9E" w:sz="4"/>
              <w:left w:val="single" w:color="2E5E9E" w:sz="4"/>
              <w:bottom w:val="single" w:color="2E5E9E" w:sz="4"/>
              <w:right w:val="single" w:color="2E5E9E" w:sz="4"/>
            </w:tcBorders>
            <w:shd w:fill="2E5E9E" w:val="clear"/>
            <w:tcMar>
              <w:top w:type="dxa" w:w="80"/>
              <w:left w:type="dxa" w:w="120"/>
              <w:bottom w:type="dxa" w:w="80"/>
              <w:right w:type="dxa" w:w="120"/>
            </w:tcMar>
            <w:vAlign w:val="top"/>
          </w:tcPr>
          <w:p>
            <w:pPr>
              <w:spacing w:after="60"/>
              <w:jc w:val="center"/>
            </w:pPr>
            <w:r>
              <w:rPr>
                <w:rFonts w:ascii="Times New Roman" w:cs="Times New Roman" w:eastAsia="Times New Roman" w:hAnsi="Times New Roman"/>
                <w:b/>
                <w:bCs/>
                <w:color w:val="FFFFFF"/>
                <w:sz w:val="24"/>
                <w:szCs w:val="24"/>
              </w:rPr>
              <w:t xml:space="preserve">Kết quả</w:t>
            </w:r>
          </w:p>
        </w:tc>
      </w:tr>
      <w:tr>
        <w:tc>
          <w:tcPr>
            <w:tcW w:type="dxa" w:w="3400"/>
            <w:tcBorders>
              <w:top w:val="single" w:color="AAAAAA" w:sz="2"/>
              <w:left w:val="single" w:color="AAAAAA" w:sz="2"/>
              <w:bottom w:val="single" w:color="AAAAAA" w:sz="2"/>
              <w:right w:val="single" w:color="AAAAAA" w:sz="2"/>
            </w:tcBorders>
            <w:tcMar>
              <w:top w:type="dxa" w:w="80"/>
              <w:left w:type="dxa" w:w="120"/>
              <w:bottom w:type="dxa" w:w="80"/>
              <w:right w:type="dxa" w:w="120"/>
            </w:tcMar>
            <w:vAlign w:val="top"/>
          </w:tcPr>
          <w:p>
            <w:pPr>
              <w:spacing w:after="60"/>
              <w:jc w:val="both"/>
            </w:pPr>
            <w:r>
              <w:rPr>
                <w:rFonts w:ascii="Times New Roman" w:cs="Times New Roman" w:eastAsia="Times New Roman" w:hAnsi="Times New Roman"/>
                <w:sz w:val="24"/>
                <w:szCs w:val="24"/>
              </w:rPr>
              <w:t xml:space="preserve">Loại bỏ chứng chỉ PCCC và An toàn lao động</w:t>
            </w:r>
          </w:p>
        </w:tc>
        <w:tc>
          <w:tcPr>
            <w:tcW w:type="dxa" w:w="3000"/>
            <w:tcBorders>
              <w:top w:val="single" w:color="AAAAAA" w:sz="2"/>
              <w:left w:val="single" w:color="AAAAAA" w:sz="2"/>
              <w:bottom w:val="single" w:color="AAAAAA" w:sz="2"/>
              <w:right w:val="single" w:color="AAAAAA" w:sz="2"/>
            </w:tcBorders>
            <w:tcMar>
              <w:top w:type="dxa" w:w="80"/>
              <w:left w:type="dxa" w:w="120"/>
              <w:bottom w:type="dxa" w:w="80"/>
              <w:right w:type="dxa" w:w="120"/>
            </w:tcMar>
            <w:vAlign w:val="top"/>
          </w:tcPr>
          <w:p>
            <w:pPr>
              <w:spacing w:after="60"/>
              <w:jc w:val="both"/>
            </w:pPr>
            <w:r>
              <w:rPr>
                <w:rFonts w:ascii="Times New Roman" w:cs="Times New Roman" w:eastAsia="Times New Roman" w:hAnsi="Times New Roman"/>
                <w:sz w:val="24"/>
                <w:szCs w:val="24"/>
              </w:rPr>
              <w:t xml:space="preserve">Gói thầu triển khai thực địa tại phòng máy chủ; tiêu chí phổ quát, dễ đạt, không hạn chế cạnh tranh</w:t>
            </w:r>
          </w:p>
        </w:tc>
        <w:tc>
          <w:tcPr>
            <w:tcW w:type="dxa" w:w="2626"/>
            <w:tcBorders>
              <w:top w:val="single" w:color="AAAAAA" w:sz="2"/>
              <w:left w:val="single" w:color="AAAAAA" w:sz="2"/>
              <w:bottom w:val="single" w:color="AAAAAA" w:sz="2"/>
              <w:right w:val="single" w:color="AAAAAA" w:sz="2"/>
            </w:tcBorders>
            <w:tcMar>
              <w:top w:type="dxa" w:w="80"/>
              <w:left w:type="dxa" w:w="120"/>
              <w:bottom w:type="dxa" w:w="80"/>
              <w:right w:type="dxa" w:w="120"/>
            </w:tcMar>
            <w:vAlign w:val="top"/>
          </w:tcPr>
          <w:p>
            <w:pPr>
              <w:spacing w:after="60"/>
              <w:jc w:val="center"/>
            </w:pPr>
            <w:r>
              <w:rPr>
                <w:rFonts w:ascii="Times New Roman" w:cs="Times New Roman" w:eastAsia="Times New Roman" w:hAnsi="Times New Roman"/>
                <w:sz w:val="24"/>
                <w:szCs w:val="24"/>
              </w:rPr>
              <w:t xml:space="preserve">Bác kiến nghị — Giữ nguyên</w:t>
            </w:r>
          </w:p>
        </w:tc>
      </w:tr>
      <w:tr>
        <w:tc>
          <w:tcPr>
            <w:tcW w:type="dxa" w:w="3400"/>
            <w:tcBorders>
              <w:top w:val="single" w:color="AAAAAA" w:sz="2"/>
              <w:left w:val="single" w:color="AAAAAA" w:sz="2"/>
              <w:bottom w:val="single" w:color="AAAAAA" w:sz="2"/>
              <w:right w:val="single" w:color="AAAAAA" w:sz="2"/>
            </w:tcBorders>
            <w:shd w:fill="EEF3FB" w:val="clear"/>
            <w:tcMar>
              <w:top w:type="dxa" w:w="80"/>
              <w:left w:type="dxa" w:w="120"/>
              <w:bottom w:type="dxa" w:w="80"/>
              <w:right w:type="dxa" w:w="120"/>
            </w:tcMar>
            <w:vAlign w:val="top"/>
          </w:tcPr>
          <w:p>
            <w:pPr>
              <w:spacing w:after="60"/>
              <w:jc w:val="both"/>
            </w:pPr>
            <w:r>
              <w:rPr>
                <w:rFonts w:ascii="Times New Roman" w:cs="Times New Roman" w:eastAsia="Times New Roman" w:hAnsi="Times New Roman"/>
                <w:sz w:val="24"/>
                <w:szCs w:val="24"/>
              </w:rPr>
              <w:t xml:space="preserve">Loại bỏ chứng chỉ QLDA và phân tích dữ liệu cho Chủ nhiệm dự án</w:t>
            </w:r>
          </w:p>
        </w:tc>
        <w:tc>
          <w:tcPr>
            <w:tcW w:type="dxa" w:w="3000"/>
            <w:tcBorders>
              <w:top w:val="single" w:color="AAAAAA" w:sz="2"/>
              <w:left w:val="single" w:color="AAAAAA" w:sz="2"/>
              <w:bottom w:val="single" w:color="AAAAAA" w:sz="2"/>
              <w:right w:val="single" w:color="AAAAAA" w:sz="2"/>
            </w:tcBorders>
            <w:shd w:fill="EEF3FB" w:val="clear"/>
            <w:tcMar>
              <w:top w:type="dxa" w:w="80"/>
              <w:left w:type="dxa" w:w="120"/>
              <w:bottom w:type="dxa" w:w="80"/>
              <w:right w:type="dxa" w:w="120"/>
            </w:tcMar>
            <w:vAlign w:val="top"/>
          </w:tcPr>
          <w:p>
            <w:pPr>
              <w:spacing w:after="60"/>
              <w:jc w:val="both"/>
            </w:pPr>
            <w:r>
              <w:rPr>
                <w:rFonts w:ascii="Times New Roman" w:cs="Times New Roman" w:eastAsia="Times New Roman" w:hAnsi="Times New Roman"/>
                <w:sz w:val="24"/>
                <w:szCs w:val="24"/>
              </w:rPr>
              <w:t xml:space="preserve">Gói thầu AI data-driven; chứng chỉ mở, linh hoạt; không có bằng chứng hạn chế cạnh tranh; khoản 3 Điều 44 LĐT 2023</w:t>
            </w:r>
          </w:p>
        </w:tc>
        <w:tc>
          <w:tcPr>
            <w:tcW w:type="dxa" w:w="2626"/>
            <w:tcBorders>
              <w:top w:val="single" w:color="AAAAAA" w:sz="2"/>
              <w:left w:val="single" w:color="AAAAAA" w:sz="2"/>
              <w:bottom w:val="single" w:color="AAAAAA" w:sz="2"/>
              <w:right w:val="single" w:color="AAAAAA" w:sz="2"/>
            </w:tcBorders>
            <w:shd w:fill="EEF3FB" w:val="clear"/>
            <w:tcMar>
              <w:top w:type="dxa" w:w="80"/>
              <w:left w:type="dxa" w:w="120"/>
              <w:bottom w:type="dxa" w:w="80"/>
              <w:right w:type="dxa" w:w="120"/>
            </w:tcMar>
            <w:vAlign w:val="top"/>
          </w:tcPr>
          <w:p>
            <w:pPr>
              <w:spacing w:after="60"/>
              <w:jc w:val="center"/>
            </w:pPr>
            <w:r>
              <w:rPr>
                <w:rFonts w:ascii="Times New Roman" w:cs="Times New Roman" w:eastAsia="Times New Roman" w:hAnsi="Times New Roman"/>
                <w:sz w:val="24"/>
                <w:szCs w:val="24"/>
              </w:rPr>
              <w:t xml:space="preserve">Bác kiến nghị — Giữ nguyên</w:t>
            </w:r>
          </w:p>
        </w:tc>
      </w:tr>
      <w:tr>
        <w:tc>
          <w:tcPr>
            <w:tcW w:type="dxa" w:w="3400"/>
            <w:tcBorders>
              <w:top w:val="single" w:color="AAAAAA" w:sz="2"/>
              <w:left w:val="single" w:color="AAAAAA" w:sz="2"/>
              <w:bottom w:val="single" w:color="AAAAAA" w:sz="2"/>
              <w:right w:val="single" w:color="AAAAAA" w:sz="2"/>
            </w:tcBorders>
            <w:tcMar>
              <w:top w:type="dxa" w:w="80"/>
              <w:left w:type="dxa" w:w="120"/>
              <w:bottom w:type="dxa" w:w="80"/>
              <w:right w:type="dxa" w:w="120"/>
            </w:tcMar>
            <w:vAlign w:val="top"/>
          </w:tcPr>
          <w:p>
            <w:pPr>
              <w:spacing w:after="60"/>
              <w:jc w:val="both"/>
            </w:pPr>
            <w:r>
              <w:rPr>
                <w:rFonts w:ascii="Times New Roman" w:cs="Times New Roman" w:eastAsia="Times New Roman" w:hAnsi="Times New Roman"/>
                <w:sz w:val="24"/>
                <w:szCs w:val="24"/>
              </w:rPr>
              <w:t xml:space="preserve">Vô hiệu tiêu chí bản quyền phần mềm</w:t>
            </w:r>
          </w:p>
        </w:tc>
        <w:tc>
          <w:tcPr>
            <w:tcW w:type="dxa" w:w="3000"/>
            <w:tcBorders>
              <w:top w:val="single" w:color="AAAAAA" w:sz="2"/>
              <w:left w:val="single" w:color="AAAAAA" w:sz="2"/>
              <w:bottom w:val="single" w:color="AAAAAA" w:sz="2"/>
              <w:right w:val="single" w:color="AAAAAA" w:sz="2"/>
            </w:tcBorders>
            <w:tcMar>
              <w:top w:type="dxa" w:w="80"/>
              <w:left w:type="dxa" w:w="120"/>
              <w:bottom w:type="dxa" w:w="80"/>
              <w:right w:type="dxa" w:w="120"/>
            </w:tcMar>
            <w:vAlign w:val="top"/>
          </w:tcPr>
          <w:p>
            <w:pPr>
              <w:spacing w:after="60"/>
              <w:jc w:val="both"/>
            </w:pPr>
            <w:r>
              <w:rPr>
                <w:rFonts w:ascii="Times New Roman" w:cs="Times New Roman" w:eastAsia="Times New Roman" w:hAnsi="Times New Roman"/>
                <w:sz w:val="24"/>
                <w:szCs w:val="24"/>
              </w:rPr>
              <w:t xml:space="preserve">Gói thầu nâng cấp PM đã có sẵn; E-HSMT chấp nhận ủy quyền phân phối; bảo vệ lợi ích Nhà nước</w:t>
            </w:r>
          </w:p>
        </w:tc>
        <w:tc>
          <w:tcPr>
            <w:tcW w:type="dxa" w:w="2626"/>
            <w:tcBorders>
              <w:top w:val="single" w:color="AAAAAA" w:sz="2"/>
              <w:left w:val="single" w:color="AAAAAA" w:sz="2"/>
              <w:bottom w:val="single" w:color="AAAAAA" w:sz="2"/>
              <w:right w:val="single" w:color="AAAAAA" w:sz="2"/>
            </w:tcBorders>
            <w:tcMar>
              <w:top w:type="dxa" w:w="80"/>
              <w:left w:type="dxa" w:w="120"/>
              <w:bottom w:type="dxa" w:w="80"/>
              <w:right w:type="dxa" w:w="120"/>
            </w:tcMar>
            <w:vAlign w:val="top"/>
          </w:tcPr>
          <w:p>
            <w:pPr>
              <w:spacing w:after="60"/>
              <w:jc w:val="center"/>
            </w:pPr>
            <w:r>
              <w:rPr>
                <w:rFonts w:ascii="Times New Roman" w:cs="Times New Roman" w:eastAsia="Times New Roman" w:hAnsi="Times New Roman"/>
                <w:sz w:val="24"/>
                <w:szCs w:val="24"/>
              </w:rPr>
              <w:t xml:space="preserve">Bác kiến nghị — Giữ nguyên</w:t>
            </w:r>
          </w:p>
        </w:tc>
      </w:tr>
      <w:tr>
        <w:tc>
          <w:tcPr>
            <w:tcW w:type="dxa" w:w="3400"/>
            <w:tcBorders>
              <w:top w:val="single" w:color="AAAAAA" w:sz="2"/>
              <w:left w:val="single" w:color="AAAAAA" w:sz="2"/>
              <w:bottom w:val="single" w:color="AAAAAA" w:sz="2"/>
              <w:right w:val="single" w:color="AAAAAA" w:sz="2"/>
            </w:tcBorders>
            <w:shd w:fill="EEF3FB" w:val="clear"/>
            <w:tcMar>
              <w:top w:type="dxa" w:w="80"/>
              <w:left w:type="dxa" w:w="120"/>
              <w:bottom w:type="dxa" w:w="80"/>
              <w:right w:type="dxa" w:w="120"/>
            </w:tcMar>
            <w:vAlign w:val="top"/>
          </w:tcPr>
          <w:p>
            <w:pPr>
              <w:spacing w:after="60"/>
              <w:jc w:val="both"/>
            </w:pPr>
            <w:r>
              <w:rPr>
                <w:rFonts w:ascii="Times New Roman" w:cs="Times New Roman" w:eastAsia="Times New Roman" w:hAnsi="Times New Roman"/>
                <w:sz w:val="24"/>
                <w:szCs w:val="24"/>
              </w:rPr>
              <w:t xml:space="preserve">Vô hiệu yêu cầu demo 05 ngày</w:t>
            </w:r>
          </w:p>
        </w:tc>
        <w:tc>
          <w:tcPr>
            <w:tcW w:type="dxa" w:w="3000"/>
            <w:tcBorders>
              <w:top w:val="single" w:color="AAAAAA" w:sz="2"/>
              <w:left w:val="single" w:color="AAAAAA" w:sz="2"/>
              <w:bottom w:val="single" w:color="AAAAAA" w:sz="2"/>
              <w:right w:val="single" w:color="AAAAAA" w:sz="2"/>
            </w:tcBorders>
            <w:shd w:fill="EEF3FB" w:val="clear"/>
            <w:tcMar>
              <w:top w:type="dxa" w:w="80"/>
              <w:left w:type="dxa" w:w="120"/>
              <w:bottom w:type="dxa" w:w="80"/>
              <w:right w:type="dxa" w:w="120"/>
            </w:tcMar>
            <w:vAlign w:val="top"/>
          </w:tcPr>
          <w:p>
            <w:pPr>
              <w:spacing w:after="60"/>
              <w:jc w:val="both"/>
            </w:pPr>
            <w:r>
              <w:rPr>
                <w:rFonts w:ascii="Times New Roman" w:cs="Times New Roman" w:eastAsia="Times New Roman" w:hAnsi="Times New Roman"/>
                <w:sz w:val="24"/>
                <w:szCs w:val="24"/>
              </w:rPr>
              <w:t xml:space="preserve">Demo kiểm chứng năng lực thực tế; 05 ngày hợp lý với nhà thầu làm chủ công nghệ; bản chất gói thầu nâng cấp</w:t>
            </w:r>
          </w:p>
        </w:tc>
        <w:tc>
          <w:tcPr>
            <w:tcW w:type="dxa" w:w="2626"/>
            <w:tcBorders>
              <w:top w:val="single" w:color="AAAAAA" w:sz="2"/>
              <w:left w:val="single" w:color="AAAAAA" w:sz="2"/>
              <w:bottom w:val="single" w:color="AAAAAA" w:sz="2"/>
              <w:right w:val="single" w:color="AAAAAA" w:sz="2"/>
            </w:tcBorders>
            <w:shd w:fill="EEF3FB" w:val="clear"/>
            <w:tcMar>
              <w:top w:type="dxa" w:w="80"/>
              <w:left w:type="dxa" w:w="120"/>
              <w:bottom w:type="dxa" w:w="80"/>
              <w:right w:type="dxa" w:w="120"/>
            </w:tcMar>
            <w:vAlign w:val="top"/>
          </w:tcPr>
          <w:p>
            <w:pPr>
              <w:spacing w:after="60"/>
              <w:jc w:val="center"/>
            </w:pPr>
            <w:r>
              <w:rPr>
                <w:rFonts w:ascii="Times New Roman" w:cs="Times New Roman" w:eastAsia="Times New Roman" w:hAnsi="Times New Roman"/>
                <w:sz w:val="24"/>
                <w:szCs w:val="24"/>
              </w:rPr>
              <w:t xml:space="preserve">Bác kiến nghị — Giữ nguyên</w:t>
            </w:r>
          </w:p>
        </w:tc>
      </w:tr>
    </w:tbl>
    <w:p>
      <w:pPr>
        <w:spacing w:after="0"/>
      </w:pPr>
      <w:r>
        <w:br w:type="page"/>
      </w:r>
    </w:p>
    <w:p>
      <w:pPr>
        <w:pStyle w:val="Heading1"/>
        <w:spacing w:after="120" w:before="200"/>
        <w:jc w:val="center"/>
      </w:pPr>
      <w:r>
        <w:rPr>
          <w:rFonts w:ascii="Times New Roman" w:cs="Times New Roman" w:eastAsia="Times New Roman" w:hAnsi="Times New Roman"/>
          <w:b/>
          <w:bCs/>
          <w:sz w:val="26"/>
          <w:szCs w:val="26"/>
        </w:rPr>
        <w:t xml:space="preserve">IV. VẤN ĐỀ VỀ HAI VĂN BẢN BẢO LƯU ĐƯỢC NỘP KÈM TRONG HỒ SƠ DỰ THẦU CỦA CÔNG TY CỔ PHẦN HINNOVA</w:t>
      </w:r>
    </w:p>
    <w:p>
      <w:pPr>
        <w:pStyle w:val="Heading2"/>
        <w:spacing w:after="120" w:before="200"/>
        <w:jc w:val="left"/>
      </w:pPr>
      <w:r>
        <w:rPr>
          <w:rFonts w:ascii="Times New Roman" w:cs="Times New Roman" w:eastAsia="Times New Roman" w:hAnsi="Times New Roman"/>
          <w:b/>
          <w:bCs/>
          <w:sz w:val="24"/>
          <w:szCs w:val="24"/>
        </w:rPr>
        <w:t xml:space="preserve">1. Mô tả hành vi</w:t>
      </w:r>
    </w:p>
    <w:p>
      <w:pPr>
        <w:spacing w:after="120"/>
        <w:ind/>
        <w:jc w:val="both"/>
      </w:pPr>
      <w:r>
        <w:rPr>
          <w:rFonts w:ascii="Times New Roman" w:cs="Times New Roman" w:eastAsia="Times New Roman" w:hAnsi="Times New Roman"/>
          <w:sz w:val="24"/>
          <w:szCs w:val="24"/>
        </w:rPr>
        <w:t xml:space="preserve">Công ty Cổ phần HINNOVA đã nộp hồ sơ dự thầu, đồng thời đính kèm trong HSDT 02 văn bản "Ý kiến bảo lưu và kiến nghị" ngày 20/04/2026 với nội dung:</w:t>
      </w:r>
    </w:p>
    <w:p>
      <w:pPr>
        <w:pStyle w:val="ListParagraph"/>
        <w:numPr>
          <w:ilvl w:val="0"/>
          <w:numId w:val="2"/>
        </w:numPr>
        <w:spacing w:after="80"/>
      </w:pPr>
      <w:r>
        <w:rPr>
          <w:rFonts w:ascii="Times New Roman" w:cs="Times New Roman" w:eastAsia="Times New Roman" w:hAnsi="Times New Roman"/>
          <w:sz w:val="24"/>
          <w:szCs w:val="24"/>
        </w:rPr>
        <w:t xml:space="preserve">Văn bản 1: Bảo lưu về tiêu chí kỹ thuật (bản quyền phần mềm và yêu cầu demo 05 ngày);</w:t>
      </w:r>
    </w:p>
    <w:p>
      <w:pPr>
        <w:pStyle w:val="ListParagraph"/>
        <w:numPr>
          <w:ilvl w:val="0"/>
          <w:numId w:val="2"/>
        </w:numPr>
        <w:spacing w:after="80"/>
      </w:pPr>
      <w:r>
        <w:rPr>
          <w:rFonts w:ascii="Times New Roman" w:cs="Times New Roman" w:eastAsia="Times New Roman" w:hAnsi="Times New Roman"/>
          <w:sz w:val="24"/>
          <w:szCs w:val="24"/>
        </w:rPr>
        <w:t xml:space="preserve">Văn bản 2: Bảo lưu về tiêu chí nhân sự chủ chốt (chứng chỉ PCCC, An toàn lao động và chứng chỉ phân tích dữ liệu của Chủ nhiệm dự án).</w:t>
      </w:r>
    </w:p>
    <w:p>
      <w:pPr>
        <w:spacing w:after="120"/>
        <w:ind/>
        <w:jc w:val="both"/>
      </w:pPr>
      <w:r>
        <w:rPr>
          <w:rFonts w:ascii="Times New Roman" w:cs="Times New Roman" w:eastAsia="Times New Roman" w:hAnsi="Times New Roman"/>
          <w:sz w:val="24"/>
          <w:szCs w:val="24"/>
        </w:rPr>
        <w:t xml:space="preserve">Đặc biệt lưu ý: Trong cả 02 văn bản bảo lưu, HINNOVA tuyên bố "cam kết toàn bộ nội dung hồ sơ dự thầu đáp ứng các yêu cầu của E-HSMT" nhưng đồng thời "bảo lưu quyền kiến nghị đến cơ quan có thẩm quyền" nếu kết quả lựa chọn nhà thầu bị ảnh hưởng.</w:t>
      </w:r>
    </w:p>
    <w:p>
      <w:pPr>
        <w:pStyle w:val="Heading2"/>
        <w:spacing w:after="120" w:before="200"/>
        <w:jc w:val="left"/>
      </w:pPr>
      <w:r>
        <w:rPr>
          <w:rFonts w:ascii="Times New Roman" w:cs="Times New Roman" w:eastAsia="Times New Roman" w:hAnsi="Times New Roman"/>
          <w:b/>
          <w:bCs/>
          <w:sz w:val="24"/>
          <w:szCs w:val="24"/>
        </w:rPr>
        <w:t xml:space="preserve">2. Phân tích pháp lý về hành vi nộp văn bản bảo lưu trong HSDT</w:t>
      </w:r>
    </w:p>
    <w:p>
      <w:pPr>
        <w:spacing w:after="120"/>
        <w:ind/>
        <w:jc w:val="both"/>
      </w:pPr>
      <w:r>
        <w:rPr>
          <w:rFonts w:ascii="Times New Roman" w:cs="Times New Roman" w:eastAsia="Times New Roman" w:hAnsi="Times New Roman"/>
          <w:b/>
          <w:bCs/>
          <w:sz w:val="24"/>
          <w:szCs w:val="24"/>
        </w:rPr>
        <w:t xml:space="preserve">a) Về nguyên tắc nộp hồ sơ dự thầu:</w:t>
      </w:r>
    </w:p>
    <w:p>
      <w:pPr>
        <w:spacing w:after="120"/>
        <w:ind/>
        <w:jc w:val="both"/>
      </w:pPr>
      <w:r>
        <w:rPr>
          <w:rFonts w:ascii="Times New Roman" w:cs="Times New Roman" w:eastAsia="Times New Roman" w:hAnsi="Times New Roman"/>
          <w:sz w:val="24"/>
          <w:szCs w:val="24"/>
        </w:rPr>
        <w:t xml:space="preserve">Theo quy định của Luật Đấu thầu và E-HSMT, hồ sơ dự thầu là văn bản pháp lý thể hiện cam kết của nhà thầu đối với toàn bộ yêu cầu của E-HSMT. Việc nộp HSDT đồng nghĩa với việc nhà thầu chấp nhận toàn bộ điều kiện, điều khoản của E-HSMT. Không có cơ chế pháp lý nào cho phép nhà thầu vừa tham dự đấu thầu vừa "bảo lưu" không thừa nhận một số tiêu chí đánh giá.</w:t>
      </w:r>
    </w:p>
    <w:p>
      <w:pPr>
        <w:spacing w:after="120"/>
        <w:ind/>
        <w:jc w:val="both"/>
      </w:pPr>
      <w:r>
        <w:rPr>
          <w:rFonts w:ascii="Times New Roman" w:cs="Times New Roman" w:eastAsia="Times New Roman" w:hAnsi="Times New Roman"/>
          <w:b/>
          <w:bCs/>
          <w:sz w:val="24"/>
          <w:szCs w:val="24"/>
        </w:rPr>
        <w:t xml:space="preserve">b) Về mâu thuẫn nội tại trong hành vi của HINNOVA:</w:t>
      </w:r>
    </w:p>
    <w:p>
      <w:pPr>
        <w:spacing w:after="120"/>
        <w:ind/>
        <w:jc w:val="both"/>
      </w:pPr>
      <w:r>
        <w:rPr>
          <w:rFonts w:ascii="Times New Roman" w:cs="Times New Roman" w:eastAsia="Times New Roman" w:hAnsi="Times New Roman"/>
          <w:sz w:val="24"/>
          <w:szCs w:val="24"/>
        </w:rPr>
        <w:t xml:space="preserve">Nhà thầu HINNOVA tuyên bố trong cùng một văn bản rằng: (i) "cam kết toàn bộ hồ sơ dự thầu đáp ứng yêu cầu E-HSMT" và (ii) "các tiêu chí nêu trên là không phù hợp theo quy định pháp luật" và đề nghị "không sử dụng làm căn cứ đánh giá đạt/không đạt". Đây là mâu thuẫn pháp lý nghiêm trọng: nếu nhà thầu thực sự đáp ứng các tiêu chí thì không cần bảo lưu; nếu không đáp ứng thì không thể cam kết tuân thủ. Hành vi này có dấu hiệu nhằm vừa duy trì quyền tham dự đấu thầu, vừa tạo tiền đề để kiến nghị sau kết quả — gây cản trở tiến trình lựa chọn nhà thầu.</w:t>
      </w:r>
    </w:p>
    <w:p>
      <w:pPr>
        <w:spacing w:after="120"/>
        <w:ind/>
        <w:jc w:val="both"/>
      </w:pPr>
      <w:r>
        <w:rPr>
          <w:rFonts w:ascii="Times New Roman" w:cs="Times New Roman" w:eastAsia="Times New Roman" w:hAnsi="Times New Roman"/>
          <w:b/>
          <w:bCs/>
          <w:sz w:val="24"/>
          <w:szCs w:val="24"/>
        </w:rPr>
        <w:t xml:space="preserve">c) Về câu hỏi đặt ra: Nếu không đủ năng lực, tại sao vẫn nộp thầu?</w:t>
      </w:r>
    </w:p>
    <w:p>
      <w:pPr>
        <w:spacing w:after="120"/>
        <w:ind/>
        <w:jc w:val="both"/>
      </w:pPr>
      <w:r>
        <w:rPr>
          <w:rFonts w:ascii="Times New Roman" w:cs="Times New Roman" w:eastAsia="Times New Roman" w:hAnsi="Times New Roman"/>
          <w:sz w:val="24"/>
          <w:szCs w:val="24"/>
        </w:rPr>
        <w:t xml:space="preserve">Theo quy định tại E-HSMT, các tiêu chí về bản quyền phần mềm, chứng chỉ nhân sự, chứng chỉ PCCC đều là tiêu chí bắt buộc. Nếu HINNOVA thực sự nhận thấy mình không đáp ứng được các tiêu chí này:</w:t>
      </w:r>
    </w:p>
    <w:p>
      <w:pPr>
        <w:pStyle w:val="ListParagraph"/>
        <w:numPr>
          <w:ilvl w:val="0"/>
          <w:numId w:val="2"/>
        </w:numPr>
        <w:spacing w:after="80"/>
      </w:pPr>
      <w:r>
        <w:rPr>
          <w:rFonts w:ascii="Times New Roman" w:cs="Times New Roman" w:eastAsia="Times New Roman" w:hAnsi="Times New Roman"/>
          <w:sz w:val="24"/>
          <w:szCs w:val="24"/>
        </w:rPr>
        <w:t xml:space="preserve">Lựa chọn 1: Không nộp thầu — đây là hành xử đúng đắn khi nhà thầu không đủ điều kiện;</w:t>
      </w:r>
    </w:p>
    <w:p>
      <w:pPr>
        <w:pStyle w:val="ListParagraph"/>
        <w:numPr>
          <w:ilvl w:val="0"/>
          <w:numId w:val="2"/>
        </w:numPr>
        <w:spacing w:after="80"/>
      </w:pPr>
      <w:r>
        <w:rPr>
          <w:rFonts w:ascii="Times New Roman" w:cs="Times New Roman" w:eastAsia="Times New Roman" w:hAnsi="Times New Roman"/>
          <w:sz w:val="24"/>
          <w:szCs w:val="24"/>
        </w:rPr>
        <w:t xml:space="preserve">Lựa chọn 2: Tham gia liên danh với nhà thầu khác đủ năng lực — giải pháp hợp pháp được pháp luật cho phép tại Điều 10 Luật Đấu thầu 22/2023/QH15;</w:t>
      </w:r>
    </w:p>
    <w:p>
      <w:pPr>
        <w:pStyle w:val="ListParagraph"/>
        <w:numPr>
          <w:ilvl w:val="0"/>
          <w:numId w:val="2"/>
        </w:numPr>
        <w:spacing w:after="80"/>
      </w:pPr>
      <w:r>
        <w:rPr>
          <w:rFonts w:ascii="Times New Roman" w:cs="Times New Roman" w:eastAsia="Times New Roman" w:hAnsi="Times New Roman"/>
          <w:sz w:val="24"/>
          <w:szCs w:val="24"/>
        </w:rPr>
        <w:t xml:space="preserve">Lựa chọn 3: Gửi kiến nghị trực tiếp đến Chủ đầu tư/cơ quan có thẩm quyền trước ngày đóng thầu theo đúng quy trình pháp luật.</w:t>
      </w:r>
    </w:p>
    <w:p>
      <w:pPr>
        <w:spacing w:after="120"/>
        <w:ind/>
        <w:jc w:val="both"/>
      </w:pPr>
      <w:r>
        <w:rPr>
          <w:rFonts w:ascii="Times New Roman" w:cs="Times New Roman" w:eastAsia="Times New Roman" w:hAnsi="Times New Roman"/>
          <w:sz w:val="24"/>
          <w:szCs w:val="24"/>
        </w:rPr>
        <w:t xml:space="preserve">HINNOVA không lựa chọn phương án nào trong số trên mà chọn cách nộp HSDT kèm văn bản bảo lưu — hành vi này không có cơ sở pháp lý và có thể được xem là chiến thuật nhằm vừa tham gia đấu thầu vừa duy trì quyền khiếu nại, gây phức tạp cho quá trình xét thầu và kiểm soát kết quả.</w:t>
      </w:r>
    </w:p>
    <w:p>
      <w:pPr>
        <w:pStyle w:val="Heading2"/>
        <w:spacing w:after="120" w:before="200"/>
        <w:jc w:val="left"/>
      </w:pPr>
      <w:r>
        <w:rPr>
          <w:rFonts w:ascii="Times New Roman" w:cs="Times New Roman" w:eastAsia="Times New Roman" w:hAnsi="Times New Roman"/>
          <w:b/>
          <w:bCs/>
          <w:sz w:val="24"/>
          <w:szCs w:val="24"/>
        </w:rPr>
        <w:t xml:space="preserve">3. Vấn đề về mối liên hệ giữa HINNOVA và nhà thầu gửi kiến nghị ẩn danh</w:t>
      </w:r>
    </w:p>
    <w:p>
      <w:pPr>
        <w:spacing w:after="120"/>
        <w:ind/>
        <w:jc w:val="both"/>
      </w:pPr>
      <w:r>
        <w:rPr>
          <w:rFonts w:ascii="Times New Roman" w:cs="Times New Roman" w:eastAsia="Times New Roman" w:hAnsi="Times New Roman"/>
          <w:sz w:val="24"/>
          <w:szCs w:val="24"/>
        </w:rPr>
        <w:t xml:space="preserve">Tổ Chuyên gia lưu ý Hội đồng về một sự trùng hợp đáng xem xét:</w:t>
      </w:r>
    </w:p>
    <w:p>
      <w:pPr>
        <w:spacing w:after="6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2E5E9E" w:sz="4"/>
              <w:left w:val="single" w:color="2E5E9E" w:sz="4"/>
              <w:bottom w:val="single" w:color="2E5E9E" w:sz="4"/>
              <w:right w:val="single" w:color="2E5E9E" w:sz="4"/>
            </w:tcBorders>
            <w:shd w:fill="2E5E9E" w:val="clear"/>
            <w:tcMar>
              <w:top w:type="dxa" w:w="80"/>
              <w:left w:type="dxa" w:w="120"/>
              <w:bottom w:type="dxa" w:w="80"/>
              <w:right w:type="dxa" w:w="120"/>
            </w:tcMar>
            <w:vAlign w:val="top"/>
          </w:tcPr>
          <w:p>
            <w:pPr>
              <w:spacing w:after="60"/>
              <w:jc w:val="both"/>
            </w:pPr>
            <w:r>
              <w:rPr>
                <w:rFonts w:ascii="Times New Roman" w:cs="Times New Roman" w:eastAsia="Times New Roman" w:hAnsi="Times New Roman"/>
                <w:b/>
                <w:bCs/>
                <w:color w:val="FFFFFF"/>
                <w:sz w:val="24"/>
                <w:szCs w:val="24"/>
              </w:rPr>
              <w:t xml:space="preserve">Tiêu chí so sánh</w:t>
            </w:r>
          </w:p>
        </w:tc>
        <w:tc>
          <w:tcPr>
            <w:tcW w:type="dxa" w:w="3513"/>
            <w:tcBorders>
              <w:top w:val="single" w:color="2E5E9E" w:sz="4"/>
              <w:left w:val="single" w:color="2E5E9E" w:sz="4"/>
              <w:bottom w:val="single" w:color="2E5E9E" w:sz="4"/>
              <w:right w:val="single" w:color="2E5E9E" w:sz="4"/>
            </w:tcBorders>
            <w:shd w:fill="2E5E9E" w:val="clear"/>
            <w:tcMar>
              <w:top w:type="dxa" w:w="80"/>
              <w:left w:type="dxa" w:w="120"/>
              <w:bottom w:type="dxa" w:w="80"/>
              <w:right w:type="dxa" w:w="120"/>
            </w:tcMar>
            <w:vAlign w:val="top"/>
          </w:tcPr>
          <w:p>
            <w:pPr>
              <w:spacing w:after="60"/>
              <w:jc w:val="both"/>
            </w:pPr>
            <w:r>
              <w:rPr>
                <w:rFonts w:ascii="Times New Roman" w:cs="Times New Roman" w:eastAsia="Times New Roman" w:hAnsi="Times New Roman"/>
                <w:b/>
                <w:bCs/>
                <w:color w:val="FFFFFF"/>
                <w:sz w:val="24"/>
                <w:szCs w:val="24"/>
              </w:rPr>
              <w:t xml:space="preserve">Nhà thầu gửi kiến nghị ẩn danh (1804/KN và các lần khác)</w:t>
            </w:r>
          </w:p>
        </w:tc>
        <w:tc>
          <w:tcPr>
            <w:tcW w:type="dxa" w:w="3513"/>
            <w:tcBorders>
              <w:top w:val="single" w:color="2E5E9E" w:sz="4"/>
              <w:left w:val="single" w:color="2E5E9E" w:sz="4"/>
              <w:bottom w:val="single" w:color="2E5E9E" w:sz="4"/>
              <w:right w:val="single" w:color="2E5E9E" w:sz="4"/>
            </w:tcBorders>
            <w:shd w:fill="2E5E9E" w:val="clear"/>
            <w:tcMar>
              <w:top w:type="dxa" w:w="80"/>
              <w:left w:type="dxa" w:w="120"/>
              <w:bottom w:type="dxa" w:w="80"/>
              <w:right w:type="dxa" w:w="120"/>
            </w:tcMar>
            <w:vAlign w:val="top"/>
          </w:tcPr>
          <w:p>
            <w:pPr>
              <w:spacing w:after="60"/>
              <w:jc w:val="both"/>
            </w:pPr>
            <w:r>
              <w:rPr>
                <w:rFonts w:ascii="Times New Roman" w:cs="Times New Roman" w:eastAsia="Times New Roman" w:hAnsi="Times New Roman"/>
                <w:b/>
                <w:bCs/>
                <w:color w:val="FFFFFF"/>
                <w:sz w:val="24"/>
                <w:szCs w:val="24"/>
              </w:rPr>
              <w:t xml:space="preserve">Công ty CP HINNOVA</w:t>
            </w:r>
          </w:p>
        </w:tc>
      </w:tr>
      <w:tr>
        <w:tc>
          <w:tcPr>
            <w:tcW w:type="dxa" w:w="2000"/>
            <w:tcBorders>
              <w:top w:val="single" w:color="AAAAAA" w:sz="2"/>
              <w:left w:val="single" w:color="AAAAAA" w:sz="2"/>
              <w:bottom w:val="single" w:color="AAAAAA" w:sz="2"/>
              <w:right w:val="single" w:color="AAAAAA" w:sz="2"/>
            </w:tcBorders>
            <w:tcMar>
              <w:top w:type="dxa" w:w="80"/>
              <w:left w:type="dxa" w:w="120"/>
              <w:bottom w:type="dxa" w:w="80"/>
              <w:right w:type="dxa" w:w="120"/>
            </w:tcMar>
            <w:vAlign w:val="top"/>
          </w:tcPr>
          <w:p>
            <w:pPr>
              <w:spacing w:after="60"/>
              <w:jc w:val="both"/>
            </w:pPr>
            <w:r>
              <w:rPr>
                <w:rFonts w:ascii="Times New Roman" w:cs="Times New Roman" w:eastAsia="Times New Roman" w:hAnsi="Times New Roman"/>
                <w:sz w:val="24"/>
                <w:szCs w:val="24"/>
              </w:rPr>
              <w:t xml:space="preserve">Nội dung kiến nghị</w:t>
            </w:r>
          </w:p>
        </w:tc>
        <w:tc>
          <w:tcPr>
            <w:tcW w:type="dxa" w:w="3513"/>
            <w:tcBorders>
              <w:top w:val="single" w:color="AAAAAA" w:sz="2"/>
              <w:left w:val="single" w:color="AAAAAA" w:sz="2"/>
              <w:bottom w:val="single" w:color="AAAAAA" w:sz="2"/>
              <w:right w:val="single" w:color="AAAAAA" w:sz="2"/>
            </w:tcBorders>
            <w:tcMar>
              <w:top w:type="dxa" w:w="80"/>
              <w:left w:type="dxa" w:w="120"/>
              <w:bottom w:type="dxa" w:w="80"/>
              <w:right w:type="dxa" w:w="120"/>
            </w:tcMar>
            <w:vAlign w:val="top"/>
          </w:tcPr>
          <w:p>
            <w:pPr>
              <w:spacing w:after="60"/>
              <w:jc w:val="both"/>
            </w:pPr>
            <w:r>
              <w:rPr>
                <w:rFonts w:ascii="Times New Roman" w:cs="Times New Roman" w:eastAsia="Times New Roman" w:hAnsi="Times New Roman"/>
                <w:sz w:val="24"/>
                <w:szCs w:val="24"/>
              </w:rPr>
              <w:t xml:space="preserve">PCCC, An toàn lao động; chứng chỉ QLDA + phân tích dữ liệu; bản quyền phần mềm; demo 05 ngày</w:t>
            </w:r>
          </w:p>
        </w:tc>
        <w:tc>
          <w:tcPr>
            <w:tcW w:type="dxa" w:w="3513"/>
            <w:tcBorders>
              <w:top w:val="single" w:color="AAAAAA" w:sz="2"/>
              <w:left w:val="single" w:color="AAAAAA" w:sz="2"/>
              <w:bottom w:val="single" w:color="AAAAAA" w:sz="2"/>
              <w:right w:val="single" w:color="AAAAAA" w:sz="2"/>
            </w:tcBorders>
            <w:tcMar>
              <w:top w:type="dxa" w:w="80"/>
              <w:left w:type="dxa" w:w="120"/>
              <w:bottom w:type="dxa" w:w="80"/>
              <w:right w:type="dxa" w:w="120"/>
            </w:tcMar>
            <w:vAlign w:val="top"/>
          </w:tcPr>
          <w:p>
            <w:pPr>
              <w:spacing w:after="60"/>
              <w:jc w:val="both"/>
            </w:pPr>
            <w:r>
              <w:rPr>
                <w:rFonts w:ascii="Times New Roman" w:cs="Times New Roman" w:eastAsia="Times New Roman" w:hAnsi="Times New Roman"/>
                <w:sz w:val="24"/>
                <w:szCs w:val="24"/>
              </w:rPr>
              <w:t xml:space="preserve">Hoàn toàn tương đồng: PCCC, An toàn lao động; chứng chỉ phân tích dữ liệu; bản quyền phần mềm; demo 05 ngày</w:t>
            </w:r>
          </w:p>
        </w:tc>
      </w:tr>
      <w:tr>
        <w:tc>
          <w:tcPr>
            <w:tcW w:type="dxa" w:w="2000"/>
            <w:tcBorders>
              <w:top w:val="single" w:color="AAAAAA" w:sz="2"/>
              <w:left w:val="single" w:color="AAAAAA" w:sz="2"/>
              <w:bottom w:val="single" w:color="AAAAAA" w:sz="2"/>
              <w:right w:val="single" w:color="AAAAAA" w:sz="2"/>
            </w:tcBorders>
            <w:shd w:fill="EEF3FB" w:val="clear"/>
            <w:tcMar>
              <w:top w:type="dxa" w:w="80"/>
              <w:left w:type="dxa" w:w="120"/>
              <w:bottom w:type="dxa" w:w="80"/>
              <w:right w:type="dxa" w:w="120"/>
            </w:tcMar>
            <w:vAlign w:val="top"/>
          </w:tcPr>
          <w:p>
            <w:pPr>
              <w:spacing w:after="60"/>
              <w:jc w:val="both"/>
            </w:pPr>
            <w:r>
              <w:rPr>
                <w:rFonts w:ascii="Times New Roman" w:cs="Times New Roman" w:eastAsia="Times New Roman" w:hAnsi="Times New Roman"/>
                <w:sz w:val="24"/>
                <w:szCs w:val="24"/>
              </w:rPr>
              <w:t xml:space="preserve">Căn cứ pháp lý viện dẫn</w:t>
            </w:r>
          </w:p>
        </w:tc>
        <w:tc>
          <w:tcPr>
            <w:tcW w:type="dxa" w:w="3513"/>
            <w:tcBorders>
              <w:top w:val="single" w:color="AAAAAA" w:sz="2"/>
              <w:left w:val="single" w:color="AAAAAA" w:sz="2"/>
              <w:bottom w:val="single" w:color="AAAAAA" w:sz="2"/>
              <w:right w:val="single" w:color="AAAAAA" w:sz="2"/>
            </w:tcBorders>
            <w:shd w:fill="EEF3FB" w:val="clear"/>
            <w:tcMar>
              <w:top w:type="dxa" w:w="80"/>
              <w:left w:type="dxa" w:w="120"/>
              <w:bottom w:type="dxa" w:w="80"/>
              <w:right w:type="dxa" w:w="120"/>
            </w:tcMar>
            <w:vAlign w:val="top"/>
          </w:tcPr>
          <w:p>
            <w:pPr>
              <w:spacing w:after="60"/>
              <w:jc w:val="both"/>
            </w:pPr>
            <w:r>
              <w:rPr>
                <w:rFonts w:ascii="Times New Roman" w:cs="Times New Roman" w:eastAsia="Times New Roman" w:hAnsi="Times New Roman"/>
                <w:sz w:val="24"/>
                <w:szCs w:val="24"/>
              </w:rPr>
              <w:t xml:space="preserve">Khoản 3 Điều 44 LĐT 2023; Nghị định 45/2026; Chỉ thị 12/CT-TTg</w:t>
            </w:r>
          </w:p>
        </w:tc>
        <w:tc>
          <w:tcPr>
            <w:tcW w:type="dxa" w:w="3513"/>
            <w:tcBorders>
              <w:top w:val="single" w:color="AAAAAA" w:sz="2"/>
              <w:left w:val="single" w:color="AAAAAA" w:sz="2"/>
              <w:bottom w:val="single" w:color="AAAAAA" w:sz="2"/>
              <w:right w:val="single" w:color="AAAAAA" w:sz="2"/>
            </w:tcBorders>
            <w:shd w:fill="EEF3FB" w:val="clear"/>
            <w:tcMar>
              <w:top w:type="dxa" w:w="80"/>
              <w:left w:type="dxa" w:w="120"/>
              <w:bottom w:type="dxa" w:w="80"/>
              <w:right w:type="dxa" w:w="120"/>
            </w:tcMar>
            <w:vAlign w:val="top"/>
          </w:tcPr>
          <w:p>
            <w:pPr>
              <w:spacing w:after="60"/>
              <w:jc w:val="both"/>
            </w:pPr>
            <w:r>
              <w:rPr>
                <w:rFonts w:ascii="Times New Roman" w:cs="Times New Roman" w:eastAsia="Times New Roman" w:hAnsi="Times New Roman"/>
                <w:sz w:val="24"/>
                <w:szCs w:val="24"/>
              </w:rPr>
              <w:t xml:space="preserve">Khoản 3 Điều 44 LĐT 2023; Nghị định 45/2026/NĐ-CP</w:t>
            </w:r>
          </w:p>
        </w:tc>
      </w:tr>
      <w:tr>
        <w:tc>
          <w:tcPr>
            <w:tcW w:type="dxa" w:w="2000"/>
            <w:tcBorders>
              <w:top w:val="single" w:color="AAAAAA" w:sz="2"/>
              <w:left w:val="single" w:color="AAAAAA" w:sz="2"/>
              <w:bottom w:val="single" w:color="AAAAAA" w:sz="2"/>
              <w:right w:val="single" w:color="AAAAAA" w:sz="2"/>
            </w:tcBorders>
            <w:tcMar>
              <w:top w:type="dxa" w:w="80"/>
              <w:left w:type="dxa" w:w="120"/>
              <w:bottom w:type="dxa" w:w="80"/>
              <w:right w:type="dxa" w:w="120"/>
            </w:tcMar>
            <w:vAlign w:val="top"/>
          </w:tcPr>
          <w:p>
            <w:pPr>
              <w:spacing w:after="60"/>
              <w:jc w:val="both"/>
            </w:pPr>
            <w:r>
              <w:rPr>
                <w:rFonts w:ascii="Times New Roman" w:cs="Times New Roman" w:eastAsia="Times New Roman" w:hAnsi="Times New Roman"/>
                <w:sz w:val="24"/>
                <w:szCs w:val="24"/>
              </w:rPr>
              <w:t xml:space="preserve">Thời điểm</w:t>
            </w:r>
          </w:p>
        </w:tc>
        <w:tc>
          <w:tcPr>
            <w:tcW w:type="dxa" w:w="3513"/>
            <w:tcBorders>
              <w:top w:val="single" w:color="AAAAAA" w:sz="2"/>
              <w:left w:val="single" w:color="AAAAAA" w:sz="2"/>
              <w:bottom w:val="single" w:color="AAAAAA" w:sz="2"/>
              <w:right w:val="single" w:color="AAAAAA" w:sz="2"/>
            </w:tcBorders>
            <w:tcMar>
              <w:top w:type="dxa" w:w="80"/>
              <w:left w:type="dxa" w:w="120"/>
              <w:bottom w:type="dxa" w:w="80"/>
              <w:right w:type="dxa" w:w="120"/>
            </w:tcMar>
            <w:vAlign w:val="top"/>
          </w:tcPr>
          <w:p>
            <w:pPr>
              <w:spacing w:after="60"/>
              <w:jc w:val="both"/>
            </w:pPr>
            <w:r>
              <w:rPr>
                <w:rFonts w:ascii="Times New Roman" w:cs="Times New Roman" w:eastAsia="Times New Roman" w:hAnsi="Times New Roman"/>
                <w:sz w:val="24"/>
                <w:szCs w:val="24"/>
              </w:rPr>
              <w:t xml:space="preserve">Trước ngày đóng thầu (14/4 – 21/4/2026)</w:t>
            </w:r>
          </w:p>
        </w:tc>
        <w:tc>
          <w:tcPr>
            <w:tcW w:type="dxa" w:w="3513"/>
            <w:tcBorders>
              <w:top w:val="single" w:color="AAAAAA" w:sz="2"/>
              <w:left w:val="single" w:color="AAAAAA" w:sz="2"/>
              <w:bottom w:val="single" w:color="AAAAAA" w:sz="2"/>
              <w:right w:val="single" w:color="AAAAAA" w:sz="2"/>
            </w:tcBorders>
            <w:tcMar>
              <w:top w:type="dxa" w:w="80"/>
              <w:left w:type="dxa" w:w="120"/>
              <w:bottom w:type="dxa" w:w="80"/>
              <w:right w:type="dxa" w:w="120"/>
            </w:tcMar>
            <w:vAlign w:val="top"/>
          </w:tcPr>
          <w:p>
            <w:pPr>
              <w:spacing w:after="60"/>
              <w:jc w:val="both"/>
            </w:pPr>
            <w:r>
              <w:rPr>
                <w:rFonts w:ascii="Times New Roman" w:cs="Times New Roman" w:eastAsia="Times New Roman" w:hAnsi="Times New Roman"/>
                <w:sz w:val="24"/>
                <w:szCs w:val="24"/>
              </w:rPr>
              <w:t xml:space="preserve">Cùng thời điểm nộp HSDT (20/4/2026)</w:t>
            </w:r>
          </w:p>
        </w:tc>
      </w:tr>
      <w:tr>
        <w:tc>
          <w:tcPr>
            <w:tcW w:type="dxa" w:w="2000"/>
            <w:tcBorders>
              <w:top w:val="single" w:color="AAAAAA" w:sz="2"/>
              <w:left w:val="single" w:color="AAAAAA" w:sz="2"/>
              <w:bottom w:val="single" w:color="AAAAAA" w:sz="2"/>
              <w:right w:val="single" w:color="AAAAAA" w:sz="2"/>
            </w:tcBorders>
            <w:shd w:fill="EEF3FB" w:val="clear"/>
            <w:tcMar>
              <w:top w:type="dxa" w:w="80"/>
              <w:left w:type="dxa" w:w="120"/>
              <w:bottom w:type="dxa" w:w="80"/>
              <w:right w:type="dxa" w:w="120"/>
            </w:tcMar>
            <w:vAlign w:val="top"/>
          </w:tcPr>
          <w:p>
            <w:pPr>
              <w:spacing w:after="60"/>
              <w:jc w:val="both"/>
            </w:pPr>
            <w:r>
              <w:rPr>
                <w:rFonts w:ascii="Times New Roman" w:cs="Times New Roman" w:eastAsia="Times New Roman" w:hAnsi="Times New Roman"/>
                <w:sz w:val="24"/>
                <w:szCs w:val="24"/>
              </w:rPr>
              <w:t xml:space="preserve">Yêu cầu cụ thể</w:t>
            </w:r>
          </w:p>
        </w:tc>
        <w:tc>
          <w:tcPr>
            <w:tcW w:type="dxa" w:w="3513"/>
            <w:tcBorders>
              <w:top w:val="single" w:color="AAAAAA" w:sz="2"/>
              <w:left w:val="single" w:color="AAAAAA" w:sz="2"/>
              <w:bottom w:val="single" w:color="AAAAAA" w:sz="2"/>
              <w:right w:val="single" w:color="AAAAAA" w:sz="2"/>
            </w:tcBorders>
            <w:shd w:fill="EEF3FB" w:val="clear"/>
            <w:tcMar>
              <w:top w:type="dxa" w:w="80"/>
              <w:left w:type="dxa" w:w="120"/>
              <w:bottom w:type="dxa" w:w="80"/>
              <w:right w:type="dxa" w:w="120"/>
            </w:tcMar>
            <w:vAlign w:val="top"/>
          </w:tcPr>
          <w:p>
            <w:pPr>
              <w:spacing w:after="60"/>
              <w:jc w:val="both"/>
            </w:pPr>
            <w:r>
              <w:rPr>
                <w:rFonts w:ascii="Times New Roman" w:cs="Times New Roman" w:eastAsia="Times New Roman" w:hAnsi="Times New Roman"/>
                <w:sz w:val="24"/>
                <w:szCs w:val="24"/>
              </w:rPr>
              <w:t xml:space="preserve">Vô hiệu tiêu chí hoặc xác nhận không dùng làm căn cứ đánh giá</w:t>
            </w:r>
          </w:p>
        </w:tc>
        <w:tc>
          <w:tcPr>
            <w:tcW w:type="dxa" w:w="3513"/>
            <w:tcBorders>
              <w:top w:val="single" w:color="AAAAAA" w:sz="2"/>
              <w:left w:val="single" w:color="AAAAAA" w:sz="2"/>
              <w:bottom w:val="single" w:color="AAAAAA" w:sz="2"/>
              <w:right w:val="single" w:color="AAAAAA" w:sz="2"/>
            </w:tcBorders>
            <w:shd w:fill="EEF3FB" w:val="clear"/>
            <w:tcMar>
              <w:top w:type="dxa" w:w="80"/>
              <w:left w:type="dxa" w:w="120"/>
              <w:bottom w:type="dxa" w:w="80"/>
              <w:right w:type="dxa" w:w="120"/>
            </w:tcMar>
            <w:vAlign w:val="top"/>
          </w:tcPr>
          <w:p>
            <w:pPr>
              <w:spacing w:after="60"/>
              <w:jc w:val="both"/>
            </w:pPr>
            <w:r>
              <w:rPr>
                <w:rFonts w:ascii="Times New Roman" w:cs="Times New Roman" w:eastAsia="Times New Roman" w:hAnsi="Times New Roman"/>
                <w:sz w:val="24"/>
                <w:szCs w:val="24"/>
              </w:rPr>
              <w:t xml:space="preserve">Loại bỏ tiêu chí hoặc xác nhận không dùng làm căn cứ đánh giá đạt/không đạt</w:t>
            </w:r>
          </w:p>
        </w:tc>
      </w:tr>
      <w:tr>
        <w:tc>
          <w:tcPr>
            <w:tcW w:type="dxa" w:w="2000"/>
            <w:tcBorders>
              <w:top w:val="single" w:color="AAAAAA" w:sz="2"/>
              <w:left w:val="single" w:color="AAAAAA" w:sz="2"/>
              <w:bottom w:val="single" w:color="AAAAAA" w:sz="2"/>
              <w:right w:val="single" w:color="AAAAAA" w:sz="2"/>
            </w:tcBorders>
            <w:tcMar>
              <w:top w:type="dxa" w:w="80"/>
              <w:left w:type="dxa" w:w="120"/>
              <w:bottom w:type="dxa" w:w="80"/>
              <w:right w:type="dxa" w:w="120"/>
            </w:tcMar>
            <w:vAlign w:val="top"/>
          </w:tcPr>
          <w:p>
            <w:pPr>
              <w:spacing w:after="60"/>
              <w:jc w:val="both"/>
            </w:pPr>
            <w:r>
              <w:rPr>
                <w:rFonts w:ascii="Times New Roman" w:cs="Times New Roman" w:eastAsia="Times New Roman" w:hAnsi="Times New Roman"/>
                <w:sz w:val="24"/>
                <w:szCs w:val="24"/>
              </w:rPr>
              <w:t xml:space="preserve">Bảo lưu quyền kiến nghị</w:t>
            </w:r>
          </w:p>
        </w:tc>
        <w:tc>
          <w:tcPr>
            <w:tcW w:type="dxa" w:w="3513"/>
            <w:tcBorders>
              <w:top w:val="single" w:color="AAAAAA" w:sz="2"/>
              <w:left w:val="single" w:color="AAAAAA" w:sz="2"/>
              <w:bottom w:val="single" w:color="AAAAAA" w:sz="2"/>
              <w:right w:val="single" w:color="AAAAAA" w:sz="2"/>
            </w:tcBorders>
            <w:tcMar>
              <w:top w:type="dxa" w:w="80"/>
              <w:left w:type="dxa" w:w="120"/>
              <w:bottom w:type="dxa" w:w="80"/>
              <w:right w:type="dxa" w:w="120"/>
            </w:tcMar>
            <w:vAlign w:val="top"/>
          </w:tcPr>
          <w:p>
            <w:pPr>
              <w:spacing w:after="60"/>
              <w:jc w:val="both"/>
            </w:pPr>
            <w:r>
              <w:rPr>
                <w:rFonts w:ascii="Times New Roman" w:cs="Times New Roman" w:eastAsia="Times New Roman" w:hAnsi="Times New Roman"/>
                <w:sz w:val="24"/>
                <w:szCs w:val="24"/>
              </w:rPr>
              <w:t xml:space="preserve">Tuyên bố sẽ kiến nghị cơ quan nhà nước có thẩm quyền</w:t>
            </w:r>
          </w:p>
        </w:tc>
        <w:tc>
          <w:tcPr>
            <w:tcW w:type="dxa" w:w="3513"/>
            <w:tcBorders>
              <w:top w:val="single" w:color="AAAAAA" w:sz="2"/>
              <w:left w:val="single" w:color="AAAAAA" w:sz="2"/>
              <w:bottom w:val="single" w:color="AAAAAA" w:sz="2"/>
              <w:right w:val="single" w:color="AAAAAA" w:sz="2"/>
            </w:tcBorders>
            <w:tcMar>
              <w:top w:type="dxa" w:w="80"/>
              <w:left w:type="dxa" w:w="120"/>
              <w:bottom w:type="dxa" w:w="80"/>
              <w:right w:type="dxa" w:w="120"/>
            </w:tcMar>
            <w:vAlign w:val="top"/>
          </w:tcPr>
          <w:p>
            <w:pPr>
              <w:spacing w:after="60"/>
              <w:jc w:val="both"/>
            </w:pPr>
            <w:r>
              <w:rPr>
                <w:rFonts w:ascii="Times New Roman" w:cs="Times New Roman" w:eastAsia="Times New Roman" w:hAnsi="Times New Roman"/>
                <w:sz w:val="24"/>
                <w:szCs w:val="24"/>
              </w:rPr>
              <w:t xml:space="preserve">Bảo lưu quyền thực hiện kiến nghị đến cơ quan có thẩm quyền</w:t>
            </w:r>
          </w:p>
        </w:tc>
      </w:tr>
    </w:tbl>
    <w:p>
      <w:pPr>
        <w:spacing w:after="60"/>
      </w:pPr>
      <w:r>
        <w:rPr>
          <w:rFonts w:ascii="Times New Roman" w:cs="Times New Roman" w:eastAsia="Times New Roman" w:hAnsi="Times New Roman"/>
          <w:sz w:val="24"/>
          <w:szCs w:val="24"/>
        </w:rPr>
        <w:t xml:space="preserve"/>
      </w:r>
    </w:p>
    <w:p>
      <w:pPr>
        <w:spacing w:after="120"/>
        <w:ind/>
        <w:jc w:val="both"/>
      </w:pPr>
      <w:r>
        <w:rPr>
          <w:rFonts w:ascii="Times New Roman" w:cs="Times New Roman" w:eastAsia="Times New Roman" w:hAnsi="Times New Roman"/>
          <w:sz w:val="24"/>
          <w:szCs w:val="24"/>
        </w:rPr>
        <w:t xml:space="preserve">Sự tương đồng toàn diện về nội dung kiến nghị, căn cứ pháp lý, yêu cầu cụ thể và cách thức bảo lưu quyền kiến nghị giữa nhà thầu ẩn danh và HINNOVA đặt ra câu hỏi pháp lý cần Hội đồng xem xét:</w:t>
      </w:r>
    </w:p>
    <w:p>
      <w:pPr>
        <w:pStyle w:val="ListParagraph"/>
        <w:numPr>
          <w:ilvl w:val="0"/>
          <w:numId w:val="2"/>
        </w:numPr>
        <w:spacing w:after="80"/>
      </w:pPr>
      <w:r>
        <w:rPr>
          <w:rFonts w:ascii="Times New Roman" w:cs="Times New Roman" w:eastAsia="Times New Roman" w:hAnsi="Times New Roman"/>
          <w:sz w:val="24"/>
          <w:szCs w:val="24"/>
        </w:rPr>
        <w:t xml:space="preserve">Liệu nhà thầu ẩn danh và HINNOVA có phải là cùng một chủ thể hoặc có mối liên hệ với nhau không?</w:t>
      </w:r>
    </w:p>
    <w:p>
      <w:pPr>
        <w:pStyle w:val="ListParagraph"/>
        <w:numPr>
          <w:ilvl w:val="0"/>
          <w:numId w:val="2"/>
        </w:numPr>
        <w:spacing w:after="80"/>
      </w:pPr>
      <w:r>
        <w:rPr>
          <w:rFonts w:ascii="Times New Roman" w:cs="Times New Roman" w:eastAsia="Times New Roman" w:hAnsi="Times New Roman"/>
          <w:sz w:val="24"/>
          <w:szCs w:val="24"/>
        </w:rPr>
        <w:t xml:space="preserve">Nếu có liên hệ, việc sử dụng danh nghĩa "nhà thầu quan tâm" ẩn danh để gửi kiến nghị, song song với việc nộp hồ sơ dự thầu dưới tên HINNOVA, có dấu hiệu phối hợp không lành mạnh nhằm gây áp lực điều chỉnh E-HSMT theo hướng có lợi cho mình, vi phạm nguyên tắc cạnh tranh, minh bạch của Luật Đấu thầu.</w:t>
      </w:r>
    </w:p>
    <w:p>
      <w:pPr>
        <w:pStyle w:val="ListParagraph"/>
        <w:numPr>
          <w:ilvl w:val="0"/>
          <w:numId w:val="2"/>
        </w:numPr>
        <w:spacing w:after="80"/>
      </w:pPr>
      <w:r>
        <w:rPr>
          <w:rFonts w:ascii="Times New Roman" w:cs="Times New Roman" w:eastAsia="Times New Roman" w:hAnsi="Times New Roman"/>
          <w:sz w:val="24"/>
          <w:szCs w:val="24"/>
        </w:rPr>
        <w:t xml:space="preserve">Tổ Chuyên gia đề nghị Hội đồng yêu cầu cơ quan có thẩm quyền xem xét, làm rõ mối liên hệ pháp lý giữa hai chủ thể này theo quy định pháp luật về đấu thầu.</w:t>
      </w:r>
    </w:p>
    <w:p>
      <w:pPr>
        <w:pStyle w:val="Heading2"/>
        <w:spacing w:after="120" w:before="200"/>
        <w:jc w:val="left"/>
      </w:pPr>
      <w:r>
        <w:rPr>
          <w:rFonts w:ascii="Times New Roman" w:cs="Times New Roman" w:eastAsia="Times New Roman" w:hAnsi="Times New Roman"/>
          <w:b/>
          <w:bCs/>
          <w:sz w:val="24"/>
          <w:szCs w:val="24"/>
        </w:rPr>
        <w:t xml:space="preserve">4. Đánh giá về ý định gây cản trở quá trình lựa chọn nhà thầu</w:t>
      </w:r>
    </w:p>
    <w:p>
      <w:pPr>
        <w:spacing w:after="120"/>
        <w:ind/>
        <w:jc w:val="both"/>
      </w:pPr>
      <w:r>
        <w:rPr>
          <w:rFonts w:ascii="Times New Roman" w:cs="Times New Roman" w:eastAsia="Times New Roman" w:hAnsi="Times New Roman"/>
          <w:sz w:val="24"/>
          <w:szCs w:val="24"/>
        </w:rPr>
        <w:t xml:space="preserve">Nhìn toàn diện chuỗi hành vi: nhà thầu ẩn danh liên tục gửi kiến nghị về cùng các tiêu chí qua nhiều đợt (14/4, 18/4, 21/4) sau mỗi lần được phản hồi; HINNOVA đính kèm văn bản bảo lưu trong HSDT dù tuyên bố vẫn cam kết đáp ứng E-HSMT. Mô hình hành vi này cho thấy dấu hiệu chiến thuật có chủ đích nhằm:</w:t>
      </w:r>
    </w:p>
    <w:p>
      <w:pPr>
        <w:pStyle w:val="ListParagraph"/>
        <w:numPr>
          <w:ilvl w:val="0"/>
          <w:numId w:val="2"/>
        </w:numPr>
        <w:spacing w:after="80"/>
      </w:pPr>
      <w:r>
        <w:rPr>
          <w:rFonts w:ascii="Times New Roman" w:cs="Times New Roman" w:eastAsia="Times New Roman" w:hAnsi="Times New Roman"/>
          <w:sz w:val="24"/>
          <w:szCs w:val="24"/>
        </w:rPr>
        <w:t xml:space="preserve">Liên tục tạo áp lực buộc Chủ đầu tư/Tổ chuyên gia điều chỉnh E-HSMT theo hướng hạ thấp tiêu chuẩn;</w:t>
      </w:r>
    </w:p>
    <w:p>
      <w:pPr>
        <w:pStyle w:val="ListParagraph"/>
        <w:numPr>
          <w:ilvl w:val="0"/>
          <w:numId w:val="2"/>
        </w:numPr>
        <w:spacing w:after="80"/>
      </w:pPr>
      <w:r>
        <w:rPr>
          <w:rFonts w:ascii="Times New Roman" w:cs="Times New Roman" w:eastAsia="Times New Roman" w:hAnsi="Times New Roman"/>
          <w:sz w:val="24"/>
          <w:szCs w:val="24"/>
        </w:rPr>
        <w:t xml:space="preserve">Tạo tiền đề kiến nghị, khiếu nại kết quả đấu thầu nếu không trúng thầu;</w:t>
      </w:r>
    </w:p>
    <w:p>
      <w:pPr>
        <w:pStyle w:val="ListParagraph"/>
        <w:numPr>
          <w:ilvl w:val="0"/>
          <w:numId w:val="2"/>
        </w:numPr>
        <w:spacing w:after="80"/>
      </w:pPr>
      <w:r>
        <w:rPr>
          <w:rFonts w:ascii="Times New Roman" w:cs="Times New Roman" w:eastAsia="Times New Roman" w:hAnsi="Times New Roman"/>
          <w:sz w:val="24"/>
          <w:szCs w:val="24"/>
        </w:rPr>
        <w:t xml:space="preserve">Làm chậm tiến độ lựa chọn nhà thầu, ảnh hưởng đến tiến độ triển khai dự án CCHC của tỉnh An Giang.</w:t>
      </w:r>
    </w:p>
    <w:p>
      <w:pPr>
        <w:spacing w:after="120"/>
        <w:ind/>
        <w:jc w:val="both"/>
      </w:pPr>
      <w:r>
        <w:rPr>
          <w:rFonts w:ascii="Times New Roman" w:cs="Times New Roman" w:eastAsia="Times New Roman" w:hAnsi="Times New Roman"/>
          <w:sz w:val="24"/>
          <w:szCs w:val="24"/>
        </w:rPr>
        <w:t xml:space="preserve">Đây là hành vi mà Chỉ thị 12/CT-TTg ngày 03/4/2026 của Thủ tướng Chính phủ đã cảnh báo và yêu cầu xử lý nghiêm — đặc biệt ở phần "tăng cường thanh tra, kiểm tra, xử lý nghiêm các hành vi... lợi dụng quyền kiến nghị để gây cản trở hoạt động đấu thầu".</w:t>
      </w:r>
    </w:p>
    <w:p>
      <w:pPr>
        <w:spacing w:after="0"/>
      </w:pPr>
      <w:r>
        <w:br w:type="page"/>
      </w:r>
    </w:p>
    <w:p>
      <w:pPr>
        <w:pStyle w:val="Heading1"/>
        <w:spacing w:after="120" w:before="200"/>
        <w:jc w:val="center"/>
      </w:pPr>
      <w:r>
        <w:rPr>
          <w:rFonts w:ascii="Times New Roman" w:cs="Times New Roman" w:eastAsia="Times New Roman" w:hAnsi="Times New Roman"/>
          <w:b/>
          <w:bCs/>
          <w:sz w:val="26"/>
          <w:szCs w:val="26"/>
        </w:rPr>
        <w:t xml:space="preserve">V. KẾT LUẬN VÀ ĐỀ XUẤT CỦA TỔ CHUYÊN GIA</w:t>
      </w:r>
    </w:p>
    <w:p>
      <w:pPr>
        <w:pStyle w:val="Heading2"/>
        <w:spacing w:after="120" w:before="200"/>
        <w:jc w:val="left"/>
      </w:pPr>
      <w:r>
        <w:rPr>
          <w:rFonts w:ascii="Times New Roman" w:cs="Times New Roman" w:eastAsia="Times New Roman" w:hAnsi="Times New Roman"/>
          <w:b/>
          <w:bCs/>
          <w:sz w:val="24"/>
          <w:szCs w:val="24"/>
        </w:rPr>
        <w:t xml:space="preserve">1. Kết luận về tính hợp lệ của E-HSMT</w:t>
      </w:r>
    </w:p>
    <w:p>
      <w:pPr>
        <w:spacing w:after="120"/>
        <w:ind/>
        <w:jc w:val="both"/>
      </w:pPr>
      <w:r>
        <w:rPr>
          <w:rFonts w:ascii="Times New Roman" w:cs="Times New Roman" w:eastAsia="Times New Roman" w:hAnsi="Times New Roman"/>
          <w:sz w:val="24"/>
          <w:szCs w:val="24"/>
        </w:rPr>
        <w:t xml:space="preserve">Trên cơ sở phân tích toàn diện, Tổ Chuyên gia kết luận E-HSMT số IB2600144373 được xây dựng đúng quy định pháp luật, phù hợp với tính chất đặc thù và yêu cầu kỹ thuật thực tế của Gói thầu số 05. Cụ thể:</w:t>
      </w:r>
    </w:p>
    <w:p>
      <w:pPr>
        <w:pStyle w:val="ListParagraph"/>
        <w:numPr>
          <w:ilvl w:val="0"/>
          <w:numId w:val="2"/>
        </w:numPr>
        <w:spacing w:after="80"/>
      </w:pPr>
      <w:r>
        <w:rPr>
          <w:rFonts w:ascii="Times New Roman" w:cs="Times New Roman" w:eastAsia="Times New Roman" w:hAnsi="Times New Roman"/>
          <w:sz w:val="24"/>
          <w:szCs w:val="24"/>
        </w:rPr>
        <w:t xml:space="preserve">Các tiêu chí về chứng chỉ PCCC và An toàn lao động phù hợp với thực tiễn triển khai tại cơ sở nhà nước, không hạn chế cạnh tranh;</w:t>
      </w:r>
    </w:p>
    <w:p>
      <w:pPr>
        <w:pStyle w:val="ListParagraph"/>
        <w:numPr>
          <w:ilvl w:val="0"/>
          <w:numId w:val="2"/>
        </w:numPr>
        <w:spacing w:after="80"/>
      </w:pPr>
      <w:r>
        <w:rPr>
          <w:rFonts w:ascii="Times New Roman" w:cs="Times New Roman" w:eastAsia="Times New Roman" w:hAnsi="Times New Roman"/>
          <w:sz w:val="24"/>
          <w:szCs w:val="24"/>
        </w:rPr>
        <w:t xml:space="preserve">Tiêu chí chứng chỉ quản lý dự án và phân tích dữ liệu đối với Chủ nhiệm dự án phù hợp với bản chất AI/data-driven của phần mềm, tiêu chí mở và linh hoạt;</w:t>
      </w:r>
    </w:p>
    <w:p>
      <w:pPr>
        <w:pStyle w:val="ListParagraph"/>
        <w:numPr>
          <w:ilvl w:val="0"/>
          <w:numId w:val="2"/>
        </w:numPr>
        <w:spacing w:after="80"/>
      </w:pPr>
      <w:r>
        <w:rPr>
          <w:rFonts w:ascii="Times New Roman" w:cs="Times New Roman" w:eastAsia="Times New Roman" w:hAnsi="Times New Roman"/>
          <w:sz w:val="24"/>
          <w:szCs w:val="24"/>
        </w:rPr>
        <w:t xml:space="preserve">Tiêu chí bản quyền phần mềm bảo vệ lợi ích Nhà nước, nhà thầu có thể đáp ứng bằng nhiều hình thức (ủy quyền, cấp phép), không hạn chế cạnh tranh;</w:t>
      </w:r>
    </w:p>
    <w:p>
      <w:pPr>
        <w:pStyle w:val="ListParagraph"/>
        <w:numPr>
          <w:ilvl w:val="0"/>
          <w:numId w:val="2"/>
        </w:numPr>
        <w:spacing w:after="80"/>
      </w:pPr>
      <w:r>
        <w:rPr>
          <w:rFonts w:ascii="Times New Roman" w:cs="Times New Roman" w:eastAsia="Times New Roman" w:hAnsi="Times New Roman"/>
          <w:sz w:val="24"/>
          <w:szCs w:val="24"/>
        </w:rPr>
        <w:t xml:space="preserve">Yêu cầu demo 05 ngày là công cụ kiểm chứng năng lực thực chất, phù hợp với tính chất gói thầu nâng cấp.</w:t>
      </w:r>
    </w:p>
    <w:p>
      <w:pPr>
        <w:pStyle w:val="Heading2"/>
        <w:spacing w:after="120" w:before="200"/>
        <w:jc w:val="left"/>
      </w:pPr>
      <w:r>
        <w:rPr>
          <w:rFonts w:ascii="Times New Roman" w:cs="Times New Roman" w:eastAsia="Times New Roman" w:hAnsi="Times New Roman"/>
          <w:b/>
          <w:bCs/>
          <w:sz w:val="24"/>
          <w:szCs w:val="24"/>
        </w:rPr>
        <w:t xml:space="preserve">2. Đề xuất của Tổ Chuyên gia</w:t>
      </w:r>
    </w:p>
    <w:p>
      <w:pPr>
        <w:pStyle w:val="ListParagraph"/>
        <w:numPr>
          <w:ilvl w:val="0"/>
          <w:numId w:val="3"/>
        </w:numPr>
        <w:spacing w:after="100"/>
      </w:pPr>
      <w:r>
        <w:rPr>
          <w:rFonts w:ascii="Times New Roman" w:cs="Times New Roman" w:eastAsia="Times New Roman" w:hAnsi="Times New Roman"/>
          <w:sz w:val="24"/>
          <w:szCs w:val="24"/>
        </w:rPr>
        <w:t xml:space="preserve">Hội đồng thông qua kết luận giữ nguyên toàn bộ nội dung E-HSMT số IB2600144373, không điều chỉnh bất kỳ tiêu chí nào theo yêu cầu của các đơn kiến nghị;</w:t>
      </w:r>
    </w:p>
    <w:p>
      <w:pPr>
        <w:pStyle w:val="ListParagraph"/>
        <w:numPr>
          <w:ilvl w:val="0"/>
          <w:numId w:val="3"/>
        </w:numPr>
        <w:spacing w:after="100"/>
      </w:pPr>
      <w:r>
        <w:rPr>
          <w:rFonts w:ascii="Times New Roman" w:cs="Times New Roman" w:eastAsia="Times New Roman" w:hAnsi="Times New Roman"/>
          <w:sz w:val="24"/>
          <w:szCs w:val="24"/>
        </w:rPr>
        <w:t xml:space="preserve">Sở Nội vụ tỉnh An Giang phát hành văn bản trả lời chính thức đến các nhà thầu về kết luận giữ nguyên E-HSMT;</w:t>
      </w:r>
    </w:p>
    <w:p>
      <w:pPr>
        <w:pStyle w:val="ListParagraph"/>
        <w:numPr>
          <w:ilvl w:val="0"/>
          <w:numId w:val="3"/>
        </w:numPr>
        <w:spacing w:after="100"/>
      </w:pPr>
      <w:r>
        <w:rPr>
          <w:rFonts w:ascii="Times New Roman" w:cs="Times New Roman" w:eastAsia="Times New Roman" w:hAnsi="Times New Roman"/>
          <w:sz w:val="24"/>
          <w:szCs w:val="24"/>
        </w:rPr>
        <w:t xml:space="preserve">Hội đồng yêu cầu làm rõ mối liên hệ pháp lý giữa nhà thầu gửi kiến nghị ẩn danh và Công ty CP HINNOVA theo quy định pháp luật đấu thầu; xem xét báo cáo cơ quan quản lý nhà nước về đấu thầu nếu phát hiện dấu hiệu vi phạm;</w:t>
      </w:r>
    </w:p>
    <w:p>
      <w:pPr>
        <w:pStyle w:val="ListParagraph"/>
        <w:numPr>
          <w:ilvl w:val="0"/>
          <w:numId w:val="3"/>
        </w:numPr>
        <w:spacing w:after="100"/>
      </w:pPr>
      <w:r>
        <w:rPr>
          <w:rFonts w:ascii="Times New Roman" w:cs="Times New Roman" w:eastAsia="Times New Roman" w:hAnsi="Times New Roman"/>
          <w:sz w:val="24"/>
          <w:szCs w:val="24"/>
        </w:rPr>
        <w:t xml:space="preserve">Tổ đánh giá hồ sơ dự thầu xem xét tính đầy đủ, hợp lệ của HSDT Công ty CP HINNOVA theo đúng tiêu chí E-HSMT đã được phê duyệt, không chịu ảnh hưởng bởi các văn bản bảo lưu đính kèm trong HSDT — các văn bản bảo lưu này không có giá trị pháp lý trong quá trình đánh giá;</w:t>
      </w:r>
    </w:p>
    <w:p>
      <w:pPr>
        <w:pStyle w:val="ListParagraph"/>
        <w:numPr>
          <w:ilvl w:val="0"/>
          <w:numId w:val="3"/>
        </w:numPr>
        <w:spacing w:after="100"/>
      </w:pPr>
      <w:r>
        <w:rPr>
          <w:rFonts w:ascii="Times New Roman" w:cs="Times New Roman" w:eastAsia="Times New Roman" w:hAnsi="Times New Roman"/>
          <w:sz w:val="24"/>
          <w:szCs w:val="24"/>
        </w:rPr>
        <w:t xml:space="preserve">Tiếp tục quy trình lựa chọn nhà thầu theo đúng kế hoạch đã phê duyệt, không để các kiến nghị không có cơ sở làm ảnh hưởng đến tiến độ triển khai dự án CCHC của tỉnh An Giang.</w:t>
      </w:r>
    </w:p>
    <w:p>
      <w:pPr>
        <w:spacing w:after="60"/>
      </w:pPr>
      <w:r>
        <w:rPr>
          <w:rFonts w:ascii="Times New Roman" w:cs="Times New Roman" w:eastAsia="Times New Roman" w:hAnsi="Times New Roman"/>
          <w:sz w:val="24"/>
          <w:szCs w:val="24"/>
        </w:rPr>
        <w:t xml:space="preserve"/>
      </w:r>
    </w:p>
    <w:p>
      <w:pPr>
        <w:spacing w:after="240"/>
        <w:ind/>
        <w:jc w:val="right"/>
      </w:pPr>
      <w:r>
        <w:rPr>
          <w:rFonts w:ascii="Times New Roman" w:cs="Times New Roman" w:eastAsia="Times New Roman" w:hAnsi="Times New Roman"/>
          <w:sz w:val="24"/>
          <w:szCs w:val="24"/>
        </w:rPr>
        <w:t xml:space="preserve">Tổ Chuyên gia kính trình Hội đồng xem xét, thông qua và ra kết luận theo thẩm quyền.</w:t>
      </w:r>
    </w:p>
    <w:p>
      <w:pPr>
        <w:spacing w:after="60"/>
      </w:pPr>
      <w:r>
        <w:rPr>
          <w:rFonts w:ascii="Times New Roman" w:cs="Times New Roman" w:eastAsia="Times New Roman" w:hAnsi="Times New Roman"/>
          <w:sz w:val="24"/>
          <w:szCs w:val="24"/>
        </w:rPr>
        <w:t xml:space="preserve"/>
      </w:r>
    </w:p>
    <w:p>
      <w:pPr>
        <w:spacing w:after="0"/>
        <w:ind/>
        <w:jc w:val="right"/>
      </w:pPr>
      <w:r>
        <w:rPr>
          <w:rFonts w:ascii="Times New Roman" w:cs="Times New Roman" w:eastAsia="Times New Roman" w:hAnsi="Times New Roman"/>
          <w:b/>
          <w:bCs/>
          <w:sz w:val="24"/>
          <w:szCs w:val="24"/>
        </w:rPr>
        <w:t xml:space="preserve">TỔ TRƯỞNG TỔ CHUYÊN GIA</w:t>
      </w:r>
    </w:p>
    <w:p>
      <w:pPr>
        <w:spacing w:after="600"/>
        <w:ind/>
        <w:jc w:val="right"/>
      </w:pPr>
      <w:r>
        <w:rPr>
          <w:rFonts w:ascii="Times New Roman" w:cs="Times New Roman" w:eastAsia="Times New Roman" w:hAnsi="Times New Roman"/>
          <w:sz w:val="24"/>
          <w:szCs w:val="24"/>
        </w:rPr>
        <w:t xml:space="preserve">(Ký, ghi rõ họ tên)</w:t>
      </w:r>
    </w:p>
    <w:p>
      <w:pPr>
        <w:spacing w:after="120"/>
        <w:ind/>
        <w:jc w:val="right"/>
      </w:pPr>
      <w:r>
        <w:rPr>
          <w:rFonts w:ascii="Times New Roman" w:cs="Times New Roman" w:eastAsia="Times New Roman" w:hAnsi="Times New Roman"/>
          <w:b/>
          <w:bCs/>
          <w:sz w:val="24"/>
          <w:szCs w:val="24"/>
        </w:rPr>
        <w:t xml:space="preserve">Huỳnh Ngọc Thuyên</w:t>
      </w:r>
    </w:p>
    <w:sectPr>
      <w:pgSz w:w="11906" w:h="16838" w:orient="portrait"/>
      <w:pgMar w:top="1134" w:right="850" w:bottom="1134"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1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2026-04-27T03:33:46.089Z</dcterms:created>
  <dcterms:modified xsi:type="dcterms:W3CDTF">2026-04-27T03:33:46.090Z</dcterms:modified>
</cp:coreProperties>
</file>

<file path=docProps/custom.xml><?xml version="1.0" encoding="utf-8"?>
<Properties xmlns="http://schemas.openxmlformats.org/officeDocument/2006/custom-properties" xmlns:vt="http://schemas.openxmlformats.org/officeDocument/2006/docPropsVTypes"/>
</file>