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823372" w14:textId="77777777" w:rsidR="009257BF" w:rsidRPr="002C1733" w:rsidRDefault="00000000">
      <w:pPr>
        <w:spacing w:after="60"/>
        <w:rPr>
          <w:rFonts w:ascii="Times New Roman" w:hAnsi="Times New Roman" w:cs="Times New Roman"/>
        </w:rPr>
      </w:pPr>
      <w:r w:rsidRPr="002C1733">
        <w:rPr>
          <w:rFonts w:ascii="Times New Roman" w:hAnsi="Times New Roman" w:cs="Times New Roman"/>
          <w:b/>
          <w:bCs/>
          <w:color w:val="B9975B"/>
          <w:spacing w:val="30"/>
          <w:sz w:val="17"/>
          <w:szCs w:val="17"/>
        </w:rPr>
        <w:t xml:space="preserve">WILLIAM &amp; </w:t>
      </w:r>
      <w:proofErr w:type="gramStart"/>
      <w:r w:rsidRPr="002C1733">
        <w:rPr>
          <w:rFonts w:ascii="Times New Roman" w:hAnsi="Times New Roman" w:cs="Times New Roman"/>
          <w:b/>
          <w:bCs/>
          <w:color w:val="B9975B"/>
          <w:spacing w:val="30"/>
          <w:sz w:val="17"/>
          <w:szCs w:val="17"/>
        </w:rPr>
        <w:t>MARY  ·</w:t>
      </w:r>
      <w:proofErr w:type="gramEnd"/>
      <w:r w:rsidRPr="002C1733">
        <w:rPr>
          <w:rFonts w:ascii="Times New Roman" w:hAnsi="Times New Roman" w:cs="Times New Roman"/>
          <w:b/>
          <w:bCs/>
          <w:color w:val="B9975B"/>
          <w:spacing w:val="30"/>
          <w:sz w:val="17"/>
          <w:szCs w:val="17"/>
        </w:rPr>
        <w:t xml:space="preserve">  DEPARTMENT OF COMPUTER </w:t>
      </w:r>
      <w:proofErr w:type="gramStart"/>
      <w:r w:rsidRPr="002C1733">
        <w:rPr>
          <w:rFonts w:ascii="Times New Roman" w:hAnsi="Times New Roman" w:cs="Times New Roman"/>
          <w:b/>
          <w:bCs/>
          <w:color w:val="B9975B"/>
          <w:spacing w:val="30"/>
          <w:sz w:val="17"/>
          <w:szCs w:val="17"/>
        </w:rPr>
        <w:t>SCIENCE  ·</w:t>
      </w:r>
      <w:proofErr w:type="gramEnd"/>
      <w:r w:rsidRPr="002C1733">
        <w:rPr>
          <w:rFonts w:ascii="Times New Roman" w:hAnsi="Times New Roman" w:cs="Times New Roman"/>
          <w:b/>
          <w:bCs/>
          <w:color w:val="B9975B"/>
          <w:spacing w:val="30"/>
          <w:sz w:val="17"/>
          <w:szCs w:val="17"/>
        </w:rPr>
        <w:t xml:space="preserve">  FALL 2026</w:t>
      </w:r>
    </w:p>
    <w:p w14:paraId="33FC55A9" w14:textId="77777777" w:rsidR="009257BF" w:rsidRPr="002C1733" w:rsidRDefault="00000000">
      <w:pPr>
        <w:spacing w:after="100"/>
        <w:rPr>
          <w:rFonts w:ascii="Times New Roman" w:hAnsi="Times New Roman" w:cs="Times New Roman"/>
        </w:rPr>
      </w:pPr>
      <w:r w:rsidRPr="002C1733">
        <w:rPr>
          <w:rFonts w:ascii="Times New Roman" w:hAnsi="Times New Roman" w:cs="Times New Roman"/>
          <w:b/>
          <w:bCs/>
          <w:color w:val="115740"/>
          <w:sz w:val="40"/>
          <w:szCs w:val="40"/>
        </w:rPr>
        <w:t>Artificial Intelligence in Speculative Media and Literatures</w:t>
      </w:r>
    </w:p>
    <w:p w14:paraId="726F058A" w14:textId="77777777" w:rsidR="009257BF" w:rsidRPr="002C1733" w:rsidRDefault="00000000">
      <w:pPr>
        <w:pBdr>
          <w:bottom w:val="single" w:sz="12" w:space="8" w:color="B9975B"/>
        </w:pBdr>
        <w:spacing w:after="240"/>
        <w:rPr>
          <w:rFonts w:ascii="Times New Roman" w:hAnsi="Times New Roman" w:cs="Times New Roman"/>
        </w:rPr>
      </w:pPr>
      <w:r w:rsidRPr="002C1733">
        <w:rPr>
          <w:rFonts w:ascii="Times New Roman" w:hAnsi="Times New Roman" w:cs="Times New Roman"/>
          <w:color w:val="444444"/>
        </w:rPr>
        <w:t xml:space="preserve">CSCI 150 / COLL </w:t>
      </w:r>
      <w:proofErr w:type="gramStart"/>
      <w:r w:rsidRPr="002C1733">
        <w:rPr>
          <w:rFonts w:ascii="Times New Roman" w:hAnsi="Times New Roman" w:cs="Times New Roman"/>
          <w:color w:val="444444"/>
        </w:rPr>
        <w:t>150  ·</w:t>
      </w:r>
      <w:proofErr w:type="gramEnd"/>
      <w:r w:rsidRPr="002C1733">
        <w:rPr>
          <w:rFonts w:ascii="Times New Roman" w:hAnsi="Times New Roman" w:cs="Times New Roman"/>
          <w:color w:val="444444"/>
        </w:rPr>
        <w:t xml:space="preserve">  First-Year </w:t>
      </w:r>
      <w:proofErr w:type="gramStart"/>
      <w:r w:rsidRPr="002C1733">
        <w:rPr>
          <w:rFonts w:ascii="Times New Roman" w:hAnsi="Times New Roman" w:cs="Times New Roman"/>
          <w:color w:val="444444"/>
        </w:rPr>
        <w:t>Seminar  ·</w:t>
      </w:r>
      <w:proofErr w:type="gramEnd"/>
      <w:r w:rsidRPr="002C1733">
        <w:rPr>
          <w:rFonts w:ascii="Times New Roman" w:hAnsi="Times New Roman" w:cs="Times New Roman"/>
          <w:color w:val="444444"/>
        </w:rPr>
        <w:t xml:space="preserve">  4 credits</w:t>
      </w:r>
    </w:p>
    <w:p w14:paraId="28347479"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INSTRUCTOR</w:t>
      </w:r>
      <w:r w:rsidRPr="002C1733">
        <w:rPr>
          <w:rFonts w:ascii="Times New Roman" w:hAnsi="Times New Roman" w:cs="Times New Roman"/>
          <w:sz w:val="18"/>
          <w:szCs w:val="18"/>
        </w:rPr>
        <w:tab/>
      </w:r>
      <w:r w:rsidRPr="002C1733">
        <w:rPr>
          <w:rFonts w:ascii="Times New Roman" w:hAnsi="Times New Roman" w:cs="Times New Roman"/>
        </w:rPr>
        <w:t>Ashley Y. Gao, Department of Computer Science</w:t>
      </w:r>
    </w:p>
    <w:p w14:paraId="7F650AAA"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EMAIL</w:t>
      </w:r>
      <w:r w:rsidRPr="002C1733">
        <w:rPr>
          <w:rFonts w:ascii="Times New Roman" w:hAnsi="Times New Roman" w:cs="Times New Roman"/>
          <w:sz w:val="18"/>
          <w:szCs w:val="18"/>
        </w:rPr>
        <w:tab/>
      </w:r>
      <w:r w:rsidRPr="002C1733">
        <w:rPr>
          <w:rFonts w:ascii="Times New Roman" w:hAnsi="Times New Roman" w:cs="Times New Roman"/>
        </w:rPr>
        <w:t>ygao18@wm.edu</w:t>
      </w:r>
    </w:p>
    <w:p w14:paraId="62570B40"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OFFICE</w:t>
      </w:r>
      <w:r w:rsidRPr="002C1733">
        <w:rPr>
          <w:rFonts w:ascii="Times New Roman" w:hAnsi="Times New Roman" w:cs="Times New Roman"/>
          <w:sz w:val="18"/>
          <w:szCs w:val="18"/>
        </w:rPr>
        <w:tab/>
      </w:r>
      <w:r w:rsidRPr="002C1733">
        <w:rPr>
          <w:rFonts w:ascii="Times New Roman" w:hAnsi="Times New Roman" w:cs="Times New Roman"/>
        </w:rPr>
        <w:t>Integrated Science Center 4, Office 2381</w:t>
      </w:r>
    </w:p>
    <w:p w14:paraId="40577AE1"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OFFICE HOURS</w:t>
      </w:r>
      <w:r w:rsidRPr="002C1733">
        <w:rPr>
          <w:rFonts w:ascii="Times New Roman" w:hAnsi="Times New Roman" w:cs="Times New Roman"/>
          <w:sz w:val="18"/>
          <w:szCs w:val="18"/>
        </w:rPr>
        <w:tab/>
      </w:r>
      <w:r w:rsidRPr="002C1733">
        <w:rPr>
          <w:rFonts w:ascii="Times New Roman" w:hAnsi="Times New Roman" w:cs="Times New Roman"/>
        </w:rPr>
        <w:t>Tu/Th 12:30–2:00 pm, and by appointment</w:t>
      </w:r>
    </w:p>
    <w:p w14:paraId="7711E167"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MEETING TIME</w:t>
      </w:r>
      <w:r w:rsidRPr="002C1733">
        <w:rPr>
          <w:rFonts w:ascii="Times New Roman" w:hAnsi="Times New Roman" w:cs="Times New Roman"/>
          <w:sz w:val="18"/>
          <w:szCs w:val="18"/>
        </w:rPr>
        <w:tab/>
      </w:r>
      <w:r w:rsidRPr="002C1733">
        <w:rPr>
          <w:rFonts w:ascii="Times New Roman" w:hAnsi="Times New Roman" w:cs="Times New Roman"/>
        </w:rPr>
        <w:t>Tu/Th 3:30–4:50 pm</w:t>
      </w:r>
    </w:p>
    <w:p w14:paraId="04011A31"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CLASSROOM</w:t>
      </w:r>
      <w:r w:rsidRPr="002C1733">
        <w:rPr>
          <w:rFonts w:ascii="Times New Roman" w:hAnsi="Times New Roman" w:cs="Times New Roman"/>
          <w:sz w:val="18"/>
          <w:szCs w:val="18"/>
        </w:rPr>
        <w:tab/>
      </w:r>
      <w:r w:rsidRPr="002C1733">
        <w:rPr>
          <w:rFonts w:ascii="Times New Roman" w:hAnsi="Times New Roman" w:cs="Times New Roman"/>
        </w:rPr>
        <w:t>[TBD]</w:t>
      </w:r>
    </w:p>
    <w:p w14:paraId="39568153"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PREREQUISITES</w:t>
      </w:r>
      <w:r w:rsidRPr="002C1733">
        <w:rPr>
          <w:rFonts w:ascii="Times New Roman" w:hAnsi="Times New Roman" w:cs="Times New Roman"/>
          <w:sz w:val="18"/>
          <w:szCs w:val="18"/>
        </w:rPr>
        <w:tab/>
      </w:r>
      <w:r w:rsidRPr="002C1733">
        <w:rPr>
          <w:rFonts w:ascii="Times New Roman" w:hAnsi="Times New Roman" w:cs="Times New Roman"/>
        </w:rPr>
        <w:t>None. No programming, mathematics, or literature background is assumed or required.</w:t>
      </w:r>
    </w:p>
    <w:p w14:paraId="46AC177B" w14:textId="77777777" w:rsidR="009257BF" w:rsidRPr="002C1733" w:rsidRDefault="009257BF">
      <w:pPr>
        <w:spacing w:after="16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16A59497" w14:textId="77777777">
        <w:tblPrEx>
          <w:tblCellMar>
            <w:top w:w="0" w:type="dxa"/>
            <w:bottom w:w="0" w:type="dxa"/>
          </w:tblCellMar>
        </w:tblPrEx>
        <w:tc>
          <w:tcPr>
            <w:tcW w:w="9360" w:type="dxa"/>
            <w:shd w:val="clear" w:color="auto" w:fill="F4F1E8"/>
            <w:tcMar>
              <w:top w:w="160" w:type="dxa"/>
              <w:left w:w="200" w:type="dxa"/>
              <w:bottom w:w="160" w:type="dxa"/>
              <w:right w:w="200" w:type="dxa"/>
            </w:tcMar>
          </w:tcPr>
          <w:p w14:paraId="530DAAB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A note before you read further. </w:t>
            </w:r>
            <w:r w:rsidRPr="002C1733">
              <w:rPr>
                <w:rFonts w:ascii="Times New Roman" w:hAnsi="Times New Roman" w:cs="Times New Roman"/>
              </w:rPr>
              <w:t>This is a Computer Science course that assigns Ovid, Marlowe, and Mary Shelley, and it is a literature course that will ask you to read a loss function.</w:t>
            </w:r>
          </w:p>
          <w:p w14:paraId="4E5B10F0"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rPr>
              <w:t>If you are a prospective CS major who has never written a close reading, and if you are a prospective English major who has never seen a partial derivative, you are both exactly where you belong. Everything technical will be taught from zero.</w:t>
            </w:r>
          </w:p>
        </w:tc>
      </w:tr>
    </w:tbl>
    <w:p w14:paraId="694230AE" w14:textId="77777777" w:rsidR="009257BF" w:rsidRPr="002C1733" w:rsidRDefault="009257BF">
      <w:pPr>
        <w:spacing w:after="200"/>
        <w:rPr>
          <w:rFonts w:ascii="Times New Roman" w:hAnsi="Times New Roman" w:cs="Times New Roman"/>
        </w:rPr>
      </w:pPr>
    </w:p>
    <w:p w14:paraId="2B527C85"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COURSE DESCRIPTION</w:t>
      </w:r>
    </w:p>
    <w:p w14:paraId="167FD715"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Long before anyone wrote a line of code, people were telling stories about made minds: an ivory statue that warms under a sculptor’s hands, a creature assembled from corpses and abandoned by its maker, a teapot that opens its eyes after a hundred years of use. Today we build systems that we describe, without quite meaning it, in the same vocabulary — systems that “learn,” “hallucinate,” “want,” “collapse,” “forget.”</w:t>
      </w:r>
    </w:p>
    <w:p w14:paraId="416AEF2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This seminar takes that coincidence seriously. Over thirteen units we will read speculative literature, film, and games alongside the actual technical machinery of modern machine learning, and we will treat both as texts — as artifacts made by people, encoding assumptions, arguments, and desires. A loss function is a mathematical object; it is also a sentence about what is worth minimizing. Mode collapse is a failure mode of a generative model; it is also a fable about what happens to a system rewarded for producing what pleases. We will move back and forth between the two registers until the border between them starts to feel less obvious than it did in August.</w:t>
      </w:r>
    </w:p>
    <w:p w14:paraId="3E65CA04"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The organizing question of the course is not “can machines think?” It is a set of harder, stranger questions. </w:t>
      </w:r>
      <w:r w:rsidRPr="002C1733">
        <w:rPr>
          <w:rFonts w:ascii="Times New Roman" w:hAnsi="Times New Roman" w:cs="Times New Roman"/>
          <w:b/>
          <w:bCs/>
        </w:rPr>
        <w:t xml:space="preserve">What do we want from a made mind, and what does the shape of that wanting </w:t>
      </w:r>
      <w:proofErr w:type="gramStart"/>
      <w:r w:rsidRPr="002C1733">
        <w:rPr>
          <w:rFonts w:ascii="Times New Roman" w:hAnsi="Times New Roman" w:cs="Times New Roman"/>
          <w:b/>
          <w:bCs/>
        </w:rPr>
        <w:t>tell</w:t>
      </w:r>
      <w:proofErr w:type="gramEnd"/>
      <w:r w:rsidRPr="002C1733">
        <w:rPr>
          <w:rFonts w:ascii="Times New Roman" w:hAnsi="Times New Roman" w:cs="Times New Roman"/>
          <w:b/>
          <w:bCs/>
        </w:rPr>
        <w:t xml:space="preserve"> us about ourselves? Who counts as a maker, who counts as a creature, and who gets to decide? What does it cost to be the thing that answers?</w:t>
      </w:r>
    </w:p>
    <w:p w14:paraId="6203D84A"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WHAT THIS COURSE IS (CSCI/COLL 150)</w:t>
      </w:r>
    </w:p>
    <w:p w14:paraId="488D6ABF"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COLL 150 is a first-year seminar in W&amp;M’s College Curriculum. It is a writing course with a topic, not a topics course with some writing attached. Roughly a third of our time together will be spent explicitly on the </w:t>
      </w:r>
      <w:r w:rsidRPr="002C1733">
        <w:rPr>
          <w:rFonts w:ascii="Times New Roman" w:hAnsi="Times New Roman" w:cs="Times New Roman"/>
        </w:rPr>
        <w:lastRenderedPageBreak/>
        <w:t>craft of scholarly work: framing a question, finding and evaluating sources, structuring an argument, giving and receiving feedback, and revising — really revising, not just proofreading.</w:t>
      </w:r>
    </w:p>
    <w:p w14:paraId="7444EF62"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By the end of the semester, you will be able to:</w:t>
      </w:r>
    </w:p>
    <w:p w14:paraId="13A0862E"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Analyze and interpret speculative texts and technical artifacts closely, attending to form, structure, rhetoric, and the assumptions each embeds. (Critical Thinking)</w:t>
      </w:r>
    </w:p>
    <w:p w14:paraId="104844B1"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Work independently to understand unfamiliar material — a nineteenth-century novel, a 2014 machine learning paper — and form and defend your own judgments about it. (Independent Inquiry)</w:t>
      </w:r>
    </w:p>
    <w:p w14:paraId="3F7FF3B2"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Write scholarly prose that communicates a complex, contestable argument in your own voice, supported by evidence and properly cited. (Scholarly Writing)</w:t>
      </w:r>
    </w:p>
    <w:p w14:paraId="2AB4D2C0"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Locate, evaluate, and cite scholarly and technical sources, including through Swem Library’s research tools. (Information Literacy)</w:t>
      </w:r>
    </w:p>
    <w:p w14:paraId="7605D67B"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Speak and listen as a member of a seminar: pose real questions, disagree productively, lead discussion, and present research to an audience. (Oral Communication)</w:t>
      </w:r>
    </w:p>
    <w:p w14:paraId="59021881"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Explain the core mechanics of contemporary machine learning — objective functions, gradient descent, generative modeling, reinforcement learning — accurately, in plain English, to a non-specialist.</w:t>
      </w:r>
    </w:p>
    <w:p w14:paraId="4072F563" w14:textId="77777777" w:rsidR="009257BF" w:rsidRPr="002C1733" w:rsidRDefault="009257BF">
      <w:pPr>
        <w:spacing w:after="60"/>
        <w:rPr>
          <w:rFonts w:ascii="Times New Roman" w:hAnsi="Times New Roman" w:cs="Times New Roman"/>
        </w:rPr>
      </w:pPr>
    </w:p>
    <w:p w14:paraId="153CBFB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A grade of C− or better fulfills the COLL 150 requirement.</w:t>
      </w:r>
    </w:p>
    <w:p w14:paraId="5693A6C5"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REQUIRED MATERIALS</w:t>
      </w:r>
    </w:p>
    <w:p w14:paraId="7971C4D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Please acquire the editions listed below where an edition is specified; page numbers in class will refer to them. Everything not listed here will be posted to Blackboard as a PDF or a licensed streaming link. Cost is a real constraint — if any of this is a hardship, email me in the first week and we will solve it quietly and without fuss. Swem holds copies of everything, and I keep a small lending shelf.</w:t>
      </w:r>
    </w:p>
    <w:p w14:paraId="1C99F7FA" w14:textId="40412072"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Books</w:t>
      </w:r>
    </w:p>
    <w:p w14:paraId="59CAF362"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Ovid, Metamorphoses, trans. Stanley Lombardo (Hackett, 2010) — or any complete verse translation you prefer.</w:t>
      </w:r>
    </w:p>
    <w:p w14:paraId="59E7CDF7"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Mary Shelley, Frankenstein: The 1818 Text, Contexts, Criticism, ed. J. Paul Hunter, Norton Critical Edition, 3rd ed. (W. W. Norton, 2022). Please get the 3rd edition — our page numbers and the critical essays we read come from it. (We will discuss why the edition matters.)</w:t>
      </w:r>
    </w:p>
    <w:p w14:paraId="2CD574FE"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Christopher Marlowe, Doctor Faustus: A- and B-Texts, ed. David Bevington &amp; Eric Rasmussen, Revels Student Edition (Manchester UP). This edition is required rather than optional because it prints both texts and we compare them in class.</w:t>
      </w:r>
    </w:p>
    <w:p w14:paraId="13F5FC35"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Steven Connor, The Madness of Knowledge: On Wisdom, Ignorance and Fantasies of Knowing (</w:t>
      </w:r>
      <w:proofErr w:type="spellStart"/>
      <w:r w:rsidRPr="002C1733">
        <w:rPr>
          <w:rFonts w:ascii="Times New Roman" w:hAnsi="Times New Roman" w:cs="Times New Roman"/>
        </w:rPr>
        <w:t>Reaktion</w:t>
      </w:r>
      <w:proofErr w:type="spellEnd"/>
      <w:r w:rsidRPr="002C1733">
        <w:rPr>
          <w:rFonts w:ascii="Times New Roman" w:hAnsi="Times New Roman" w:cs="Times New Roman"/>
        </w:rPr>
        <w:t>, 2019).</w:t>
      </w:r>
    </w:p>
    <w:p w14:paraId="5ED93F1D"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Ted Chiang, Exhalation (Vintage) — for “The Lifecycle of Software Objects.”</w:t>
      </w:r>
    </w:p>
    <w:p w14:paraId="4F572EC6"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Kazuo Ishiguro, Klara and the Sun (Vintage).</w:t>
      </w:r>
    </w:p>
    <w:p w14:paraId="5EAA49B4"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 xml:space="preserve">Toriyama Sekien, </w:t>
      </w:r>
      <w:proofErr w:type="spellStart"/>
      <w:r w:rsidRPr="002C1733">
        <w:rPr>
          <w:rFonts w:ascii="Times New Roman" w:hAnsi="Times New Roman" w:cs="Times New Roman"/>
        </w:rPr>
        <w:t>Japandemonium</w:t>
      </w:r>
      <w:proofErr w:type="spellEnd"/>
      <w:r w:rsidRPr="002C1733">
        <w:rPr>
          <w:rFonts w:ascii="Times New Roman" w:hAnsi="Times New Roman" w:cs="Times New Roman"/>
        </w:rPr>
        <w:t xml:space="preserve"> Illustrated: The Yokai Encyclopedias of Toriyama Sekien, trans. Hiroko Yoda &amp; Matt Alt (Dover, 2016).</w:t>
      </w:r>
    </w:p>
    <w:p w14:paraId="45DA6E2F"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Karel Čapek, R.U.R. — any translation; the 1923 Selver translation is in the public domain and free online.</w:t>
      </w:r>
    </w:p>
    <w:p w14:paraId="67C1DB36"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Films</w:t>
      </w:r>
    </w:p>
    <w:p w14:paraId="1303942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The Matrix (Wachowskis, 1999) · Ex Machina (Garland, 2014) · Her (Jonze, 2013). Optional: Ghost in the Shell (Oshii, 1995), Blade Runner (Scott, 1982).</w:t>
      </w:r>
    </w:p>
    <w:p w14:paraId="0B57D82B"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lastRenderedPageBreak/>
        <w:t>Games</w:t>
      </w:r>
    </w:p>
    <w:p w14:paraId="440C92F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Detroit: Become Human (Quantic Dream, 2018) and the Mass Effect trilogy (BioWare, 2007–2012).</w:t>
      </w:r>
    </w:p>
    <w:p w14:paraId="316F8B3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You are not required to buy or complete these games. </w:t>
      </w:r>
      <w:r w:rsidRPr="002C1733">
        <w:rPr>
          <w:rFonts w:ascii="Times New Roman" w:hAnsi="Times New Roman" w:cs="Times New Roman"/>
        </w:rPr>
        <w:t>Games are long and expensive, and I will not pretend otherwise. Playing is a pleasure, not a prerequisite. Interactive sequences that we need to discuss will be provided as YouTube links available on the course website.</w:t>
      </w:r>
    </w:p>
    <w:p w14:paraId="1F3C8344"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Technical readings</w:t>
      </w:r>
    </w:p>
    <w:p w14:paraId="6F8489B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All free and online; several are videos. These are chosen for accessibility, not rigor-for-its-own-sake. Full links on Blackboard.</w:t>
      </w:r>
    </w:p>
    <w:p w14:paraId="4AA40C4B"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3Blue1Brown, Neural Networks, chs. 1–2 (Unit 5) and chs. 3–4 (Unit 9) — video</w:t>
      </w:r>
    </w:p>
    <w:p w14:paraId="127878C8"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Sutton &amp; Barto, Reinforcement Learning: An Introduction, 2nd ed., ch. 1 — free PDF</w:t>
      </w:r>
    </w:p>
    <w:p w14:paraId="32BE5AD6"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Goodfellow et al., “Generative Adversarial Networks” (</w:t>
      </w:r>
      <w:proofErr w:type="spellStart"/>
      <w:r w:rsidRPr="002C1733">
        <w:rPr>
          <w:rFonts w:ascii="Times New Roman" w:hAnsi="Times New Roman" w:cs="Times New Roman"/>
        </w:rPr>
        <w:t>NeurIPS</w:t>
      </w:r>
      <w:proofErr w:type="spellEnd"/>
      <w:r w:rsidRPr="002C1733">
        <w:rPr>
          <w:rFonts w:ascii="Times New Roman" w:hAnsi="Times New Roman" w:cs="Times New Roman"/>
        </w:rPr>
        <w:t>, 2014) — abstract, Figure 1, and §3 only</w:t>
      </w:r>
    </w:p>
    <w:p w14:paraId="4BAF96D6"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Goodfellow, “NIPS 2016 Tutorial: Generative Adversarial Networks,” §5.1.1 — two pages; this, not the 2014 paper, is where mode collapse is named and explained</w:t>
      </w:r>
    </w:p>
    <w:p w14:paraId="2A3A7A71"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Amodei et al., “Concrete Problems in AI Safety” (2016) — §§1–3</w:t>
      </w:r>
    </w:p>
    <w:p w14:paraId="20780DB4" w14:textId="77777777" w:rsidR="009257BF" w:rsidRPr="002C1733" w:rsidRDefault="00000000">
      <w:pPr>
        <w:pStyle w:val="ListParagraph"/>
        <w:numPr>
          <w:ilvl w:val="0"/>
          <w:numId w:val="3"/>
        </w:numPr>
        <w:spacing w:after="60" w:line="264" w:lineRule="auto"/>
        <w:rPr>
          <w:rFonts w:ascii="Times New Roman" w:hAnsi="Times New Roman" w:cs="Times New Roman"/>
        </w:rPr>
      </w:pPr>
      <w:proofErr w:type="spellStart"/>
      <w:r w:rsidRPr="002C1733">
        <w:rPr>
          <w:rFonts w:ascii="Times New Roman" w:hAnsi="Times New Roman" w:cs="Times New Roman"/>
        </w:rPr>
        <w:t>Krakovna</w:t>
      </w:r>
      <w:proofErr w:type="spellEnd"/>
      <w:r w:rsidRPr="002C1733">
        <w:rPr>
          <w:rFonts w:ascii="Times New Roman" w:hAnsi="Times New Roman" w:cs="Times New Roman"/>
        </w:rPr>
        <w:t xml:space="preserve"> et al., “Specification Gaming: The Flip Side of AI Ingenuity” (DeepMind, 2020), with the accompanying public list of examples</w:t>
      </w:r>
    </w:p>
    <w:p w14:paraId="38B28543"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Turing, “Computing Machinery and Intelligence” (Mind, 1950)</w:t>
      </w:r>
    </w:p>
    <w:p w14:paraId="33AF3122"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 xml:space="preserve">Bender, Gebru, McMillan-Major &amp; </w:t>
      </w:r>
      <w:proofErr w:type="spellStart"/>
      <w:r w:rsidRPr="002C1733">
        <w:rPr>
          <w:rFonts w:ascii="Times New Roman" w:hAnsi="Times New Roman" w:cs="Times New Roman"/>
        </w:rPr>
        <w:t>Shmitchell</w:t>
      </w:r>
      <w:proofErr w:type="spellEnd"/>
      <w:r w:rsidRPr="002C1733">
        <w:rPr>
          <w:rFonts w:ascii="Times New Roman" w:hAnsi="Times New Roman" w:cs="Times New Roman"/>
        </w:rPr>
        <w:t>, “On the Dangers of Stochastic Parrots” (</w:t>
      </w:r>
      <w:proofErr w:type="spellStart"/>
      <w:r w:rsidRPr="002C1733">
        <w:rPr>
          <w:rFonts w:ascii="Times New Roman" w:hAnsi="Times New Roman" w:cs="Times New Roman"/>
        </w:rPr>
        <w:t>FAccT</w:t>
      </w:r>
      <w:proofErr w:type="spellEnd"/>
      <w:r w:rsidRPr="002C1733">
        <w:rPr>
          <w:rFonts w:ascii="Times New Roman" w:hAnsi="Times New Roman" w:cs="Times New Roman"/>
        </w:rPr>
        <w:t>, 2021)</w:t>
      </w:r>
    </w:p>
    <w:p w14:paraId="62FCBE5D"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Ted Chiang, “ChatGPT Is a Blurry JPEG of the Web” (The New Yorker, 9 February 2023)</w:t>
      </w:r>
    </w:p>
    <w:p w14:paraId="151FEDE6" w14:textId="77777777" w:rsidR="009257BF" w:rsidRPr="002C1733" w:rsidRDefault="009257BF">
      <w:pPr>
        <w:spacing w:after="12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7796CD53" w14:textId="77777777">
        <w:tblPrEx>
          <w:tblCellMar>
            <w:top w:w="0" w:type="dxa"/>
            <w:bottom w:w="0" w:type="dxa"/>
          </w:tblCellMar>
        </w:tblPrEx>
        <w:tc>
          <w:tcPr>
            <w:tcW w:w="9360" w:type="dxa"/>
            <w:shd w:val="clear" w:color="auto" w:fill="FBF3F3"/>
            <w:tcMar>
              <w:top w:w="160" w:type="dxa"/>
              <w:left w:w="200" w:type="dxa"/>
              <w:bottom w:w="160" w:type="dxa"/>
              <w:right w:w="200" w:type="dxa"/>
            </w:tcMar>
          </w:tcPr>
          <w:p w14:paraId="04F64A8E"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b/>
                <w:bCs/>
              </w:rPr>
              <w:t xml:space="preserve">Content advisory. </w:t>
            </w:r>
            <w:r w:rsidRPr="002C1733">
              <w:rPr>
                <w:rFonts w:ascii="Times New Roman" w:hAnsi="Times New Roman" w:cs="Times New Roman"/>
              </w:rPr>
              <w:t>Our texts include depictions of violence, bodily horror, suicide, sexual coercion, abuse (including the abuse of children and of android characters coded as children), racialized dehumanization, and self-destruction. Frankenstein, Doctor Faustus, and Detroit: Become Human are each, in their way, difficult. I will flag specific material in advance, and there are always alternate paths through an assignment. Come talk to me.</w:t>
            </w:r>
          </w:p>
        </w:tc>
      </w:tr>
    </w:tbl>
    <w:p w14:paraId="6F4FDBA4"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ASSIGNMENTS AND GRADING</w:t>
      </w:r>
    </w:p>
    <w:tbl>
      <w:tblPr>
        <w:tblW w:w="9360" w:type="dxa"/>
        <w:tblBorders>
          <w:top w:val="single" w:sz="4" w:space="0" w:color="BFBFBF"/>
          <w:bottom w:val="single" w:sz="4" w:space="0" w:color="BFBFBF"/>
          <w:insideH w:val="single" w:sz="2" w:space="0" w:color="D9D9D9"/>
        </w:tblBorders>
        <w:tblCellMar>
          <w:left w:w="10" w:type="dxa"/>
          <w:right w:w="10" w:type="dxa"/>
        </w:tblCellMar>
        <w:tblLook w:val="04A0" w:firstRow="1" w:lastRow="0" w:firstColumn="1" w:lastColumn="0" w:noHBand="0" w:noVBand="1"/>
      </w:tblPr>
      <w:tblGrid>
        <w:gridCol w:w="3629"/>
        <w:gridCol w:w="2538"/>
        <w:gridCol w:w="3193"/>
      </w:tblGrid>
      <w:tr w:rsidR="009257BF" w:rsidRPr="002C1733" w14:paraId="39A1E45B" w14:textId="77777777">
        <w:tblPrEx>
          <w:tblCellMar>
            <w:top w:w="0" w:type="dxa"/>
            <w:bottom w:w="0" w:type="dxa"/>
          </w:tblCellMar>
        </w:tblPrEx>
        <w:tc>
          <w:tcPr>
            <w:tcW w:w="0" w:type="dxa"/>
            <w:shd w:val="clear" w:color="auto" w:fill="115740"/>
            <w:tcMar>
              <w:top w:w="60" w:type="dxa"/>
              <w:left w:w="120" w:type="dxa"/>
              <w:bottom w:w="60" w:type="dxa"/>
              <w:right w:w="120" w:type="dxa"/>
            </w:tcMar>
          </w:tcPr>
          <w:p w14:paraId="65AA1165"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b/>
                <w:bCs/>
                <w:color w:val="FFFFFF"/>
                <w:sz w:val="17"/>
                <w:szCs w:val="17"/>
              </w:rPr>
              <w:t>ASSIGNMENT</w:t>
            </w:r>
          </w:p>
        </w:tc>
        <w:tc>
          <w:tcPr>
            <w:tcW w:w="0" w:type="dxa"/>
            <w:shd w:val="clear" w:color="auto" w:fill="115740"/>
            <w:tcMar>
              <w:top w:w="60" w:type="dxa"/>
              <w:left w:w="120" w:type="dxa"/>
              <w:bottom w:w="60" w:type="dxa"/>
              <w:right w:w="120" w:type="dxa"/>
            </w:tcMar>
          </w:tcPr>
          <w:p w14:paraId="486A4268"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b/>
                <w:bCs/>
                <w:color w:val="FFFFFF"/>
                <w:sz w:val="17"/>
                <w:szCs w:val="17"/>
              </w:rPr>
              <w:t>WEIGHT</w:t>
            </w:r>
          </w:p>
        </w:tc>
        <w:tc>
          <w:tcPr>
            <w:tcW w:w="0" w:type="dxa"/>
            <w:shd w:val="clear" w:color="auto" w:fill="115740"/>
            <w:tcMar>
              <w:top w:w="60" w:type="dxa"/>
              <w:left w:w="120" w:type="dxa"/>
              <w:bottom w:w="60" w:type="dxa"/>
              <w:right w:w="120" w:type="dxa"/>
            </w:tcMar>
          </w:tcPr>
          <w:p w14:paraId="2F826D25"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b/>
                <w:bCs/>
                <w:color w:val="FFFFFF"/>
                <w:sz w:val="17"/>
                <w:szCs w:val="17"/>
              </w:rPr>
              <w:t>DUE</w:t>
            </w:r>
          </w:p>
        </w:tc>
      </w:tr>
      <w:tr w:rsidR="009257BF" w:rsidRPr="002C1733" w14:paraId="1280C9CF" w14:textId="77777777">
        <w:tblPrEx>
          <w:tblCellMar>
            <w:top w:w="0" w:type="dxa"/>
            <w:bottom w:w="0" w:type="dxa"/>
          </w:tblCellMar>
        </w:tblPrEx>
        <w:tc>
          <w:tcPr>
            <w:tcW w:w="0" w:type="dxa"/>
            <w:tcMar>
              <w:top w:w="60" w:type="dxa"/>
              <w:left w:w="120" w:type="dxa"/>
              <w:bottom w:w="60" w:type="dxa"/>
              <w:right w:w="120" w:type="dxa"/>
            </w:tcMar>
          </w:tcPr>
          <w:p w14:paraId="12C24E94"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Essay 1: Close Reading (1,200–1,500 words) + required revision</w:t>
            </w:r>
          </w:p>
        </w:tc>
        <w:tc>
          <w:tcPr>
            <w:tcW w:w="0" w:type="dxa"/>
            <w:tcMar>
              <w:top w:w="60" w:type="dxa"/>
              <w:left w:w="120" w:type="dxa"/>
              <w:bottom w:w="60" w:type="dxa"/>
              <w:right w:w="120" w:type="dxa"/>
            </w:tcMar>
          </w:tcPr>
          <w:p w14:paraId="434D3D3C"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25%</w:t>
            </w:r>
          </w:p>
        </w:tc>
        <w:tc>
          <w:tcPr>
            <w:tcW w:w="0" w:type="dxa"/>
            <w:tcMar>
              <w:top w:w="60" w:type="dxa"/>
              <w:left w:w="120" w:type="dxa"/>
              <w:bottom w:w="60" w:type="dxa"/>
              <w:right w:w="120" w:type="dxa"/>
            </w:tcMar>
          </w:tcPr>
          <w:p w14:paraId="05330CDA"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Draft Unit 5 · Revision Unit 7</w:t>
            </w:r>
          </w:p>
        </w:tc>
      </w:tr>
      <w:tr w:rsidR="009257BF" w:rsidRPr="002C1733" w14:paraId="0CF4B988" w14:textId="77777777">
        <w:tblPrEx>
          <w:tblCellMar>
            <w:top w:w="0" w:type="dxa"/>
            <w:bottom w:w="0" w:type="dxa"/>
          </w:tblCellMar>
        </w:tblPrEx>
        <w:tc>
          <w:tcPr>
            <w:tcW w:w="0" w:type="dxa"/>
            <w:tcMar>
              <w:top w:w="60" w:type="dxa"/>
              <w:left w:w="120" w:type="dxa"/>
              <w:bottom w:w="60" w:type="dxa"/>
              <w:right w:w="120" w:type="dxa"/>
            </w:tcMar>
          </w:tcPr>
          <w:p w14:paraId="71CAD008"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Essay 2: Reading the Machine (1,500–1,800 words)</w:t>
            </w:r>
          </w:p>
        </w:tc>
        <w:tc>
          <w:tcPr>
            <w:tcW w:w="0" w:type="dxa"/>
            <w:tcMar>
              <w:top w:w="60" w:type="dxa"/>
              <w:left w:w="120" w:type="dxa"/>
              <w:bottom w:w="60" w:type="dxa"/>
              <w:right w:w="120" w:type="dxa"/>
            </w:tcMar>
          </w:tcPr>
          <w:p w14:paraId="0C9BA7D7"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25%</w:t>
            </w:r>
          </w:p>
        </w:tc>
        <w:tc>
          <w:tcPr>
            <w:tcW w:w="0" w:type="dxa"/>
            <w:tcMar>
              <w:top w:w="60" w:type="dxa"/>
              <w:left w:w="120" w:type="dxa"/>
              <w:bottom w:w="60" w:type="dxa"/>
              <w:right w:w="120" w:type="dxa"/>
            </w:tcMar>
          </w:tcPr>
          <w:p w14:paraId="4A8289FE"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Draft Unit 9 · Final Unit 11</w:t>
            </w:r>
          </w:p>
        </w:tc>
      </w:tr>
      <w:tr w:rsidR="009257BF" w:rsidRPr="002C1733" w14:paraId="6A00E0A9" w14:textId="77777777">
        <w:tblPrEx>
          <w:tblCellMar>
            <w:top w:w="0" w:type="dxa"/>
            <w:bottom w:w="0" w:type="dxa"/>
          </w:tblCellMar>
        </w:tblPrEx>
        <w:tc>
          <w:tcPr>
            <w:tcW w:w="0" w:type="dxa"/>
            <w:tcMar>
              <w:top w:w="60" w:type="dxa"/>
              <w:left w:w="120" w:type="dxa"/>
              <w:bottom w:w="60" w:type="dxa"/>
              <w:right w:w="120" w:type="dxa"/>
            </w:tcMar>
          </w:tcPr>
          <w:p w14:paraId="237E4B3C"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Midterm: Creative Writing Response (600–900 words)</w:t>
            </w:r>
          </w:p>
        </w:tc>
        <w:tc>
          <w:tcPr>
            <w:tcW w:w="0" w:type="dxa"/>
            <w:tcMar>
              <w:top w:w="60" w:type="dxa"/>
              <w:left w:w="120" w:type="dxa"/>
              <w:bottom w:w="60" w:type="dxa"/>
              <w:right w:w="120" w:type="dxa"/>
            </w:tcMar>
          </w:tcPr>
          <w:p w14:paraId="3F18F272"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10%</w:t>
            </w:r>
          </w:p>
        </w:tc>
        <w:tc>
          <w:tcPr>
            <w:tcW w:w="0" w:type="dxa"/>
            <w:tcMar>
              <w:top w:w="60" w:type="dxa"/>
              <w:left w:w="120" w:type="dxa"/>
              <w:bottom w:w="60" w:type="dxa"/>
              <w:right w:w="120" w:type="dxa"/>
            </w:tcMar>
          </w:tcPr>
          <w:p w14:paraId="3B19DB5A"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Unit 8 — due Thu, Oct 15</w:t>
            </w:r>
          </w:p>
        </w:tc>
      </w:tr>
      <w:tr w:rsidR="009257BF" w:rsidRPr="002C1733" w14:paraId="26332390" w14:textId="77777777">
        <w:tblPrEx>
          <w:tblCellMar>
            <w:top w:w="0" w:type="dxa"/>
            <w:bottom w:w="0" w:type="dxa"/>
          </w:tblCellMar>
        </w:tblPrEx>
        <w:tc>
          <w:tcPr>
            <w:tcW w:w="0" w:type="dxa"/>
            <w:tcMar>
              <w:top w:w="60" w:type="dxa"/>
              <w:left w:w="120" w:type="dxa"/>
              <w:bottom w:w="60" w:type="dxa"/>
              <w:right w:w="120" w:type="dxa"/>
            </w:tcMar>
          </w:tcPr>
          <w:p w14:paraId="3EB7B2D9"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Research project: final essay (2,500–3,000 words)</w:t>
            </w:r>
          </w:p>
        </w:tc>
        <w:tc>
          <w:tcPr>
            <w:tcW w:w="0" w:type="dxa"/>
            <w:tcMar>
              <w:top w:w="60" w:type="dxa"/>
              <w:left w:w="120" w:type="dxa"/>
              <w:bottom w:w="60" w:type="dxa"/>
              <w:right w:w="120" w:type="dxa"/>
            </w:tcMar>
          </w:tcPr>
          <w:p w14:paraId="2855078D"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20%</w:t>
            </w:r>
          </w:p>
        </w:tc>
        <w:tc>
          <w:tcPr>
            <w:tcW w:w="0" w:type="dxa"/>
            <w:tcMar>
              <w:top w:w="60" w:type="dxa"/>
              <w:left w:w="120" w:type="dxa"/>
              <w:bottom w:w="60" w:type="dxa"/>
              <w:right w:w="120" w:type="dxa"/>
            </w:tcMar>
          </w:tcPr>
          <w:p w14:paraId="610F6218"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Exam period</w:t>
            </w:r>
          </w:p>
        </w:tc>
      </w:tr>
      <w:tr w:rsidR="009257BF" w:rsidRPr="002C1733" w14:paraId="0E515ECE" w14:textId="77777777">
        <w:tblPrEx>
          <w:tblCellMar>
            <w:top w:w="0" w:type="dxa"/>
            <w:bottom w:w="0" w:type="dxa"/>
          </w:tblCellMar>
        </w:tblPrEx>
        <w:tc>
          <w:tcPr>
            <w:tcW w:w="0" w:type="dxa"/>
            <w:tcMar>
              <w:top w:w="60" w:type="dxa"/>
              <w:left w:w="120" w:type="dxa"/>
              <w:bottom w:w="60" w:type="dxa"/>
              <w:right w:w="120" w:type="dxa"/>
            </w:tcMar>
          </w:tcPr>
          <w:p w14:paraId="12E813EC"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Symposium presentation (8 min + 4 min Q&amp;A)</w:t>
            </w:r>
          </w:p>
        </w:tc>
        <w:tc>
          <w:tcPr>
            <w:tcW w:w="0" w:type="dxa"/>
            <w:tcMar>
              <w:top w:w="60" w:type="dxa"/>
              <w:left w:w="120" w:type="dxa"/>
              <w:bottom w:w="60" w:type="dxa"/>
              <w:right w:w="120" w:type="dxa"/>
            </w:tcMar>
          </w:tcPr>
          <w:p w14:paraId="6C50F895"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10%</w:t>
            </w:r>
          </w:p>
        </w:tc>
        <w:tc>
          <w:tcPr>
            <w:tcW w:w="0" w:type="dxa"/>
            <w:tcMar>
              <w:top w:w="60" w:type="dxa"/>
              <w:left w:w="120" w:type="dxa"/>
              <w:bottom w:w="60" w:type="dxa"/>
              <w:right w:w="120" w:type="dxa"/>
            </w:tcMar>
          </w:tcPr>
          <w:p w14:paraId="795D60A4"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Dec 1 &amp; Dec 3</w:t>
            </w:r>
          </w:p>
        </w:tc>
      </w:tr>
      <w:tr w:rsidR="009257BF" w:rsidRPr="002C1733" w14:paraId="76CA0DDC" w14:textId="77777777">
        <w:tblPrEx>
          <w:tblCellMar>
            <w:top w:w="0" w:type="dxa"/>
            <w:bottom w:w="0" w:type="dxa"/>
          </w:tblCellMar>
        </w:tblPrEx>
        <w:tc>
          <w:tcPr>
            <w:tcW w:w="0" w:type="dxa"/>
            <w:tcMar>
              <w:top w:w="60" w:type="dxa"/>
              <w:left w:w="120" w:type="dxa"/>
              <w:bottom w:w="60" w:type="dxa"/>
              <w:right w:w="120" w:type="dxa"/>
            </w:tcMar>
          </w:tcPr>
          <w:p w14:paraId="62AEB59D"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lastRenderedPageBreak/>
              <w:t>Final Exam: Creative Writing Response (600–900 words)</w:t>
            </w:r>
          </w:p>
        </w:tc>
        <w:tc>
          <w:tcPr>
            <w:tcW w:w="0" w:type="dxa"/>
            <w:tcMar>
              <w:top w:w="60" w:type="dxa"/>
              <w:left w:w="120" w:type="dxa"/>
              <w:bottom w:w="60" w:type="dxa"/>
              <w:right w:w="120" w:type="dxa"/>
            </w:tcMar>
          </w:tcPr>
          <w:p w14:paraId="637A2B63"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10%</w:t>
            </w:r>
          </w:p>
        </w:tc>
        <w:tc>
          <w:tcPr>
            <w:tcW w:w="0" w:type="dxa"/>
            <w:tcMar>
              <w:top w:w="60" w:type="dxa"/>
              <w:left w:w="120" w:type="dxa"/>
              <w:bottom w:w="60" w:type="dxa"/>
              <w:right w:w="120" w:type="dxa"/>
            </w:tcMar>
          </w:tcPr>
          <w:p w14:paraId="60DF6F9F"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Exam period</w:t>
            </w:r>
          </w:p>
        </w:tc>
      </w:tr>
      <w:tr w:rsidR="009257BF" w:rsidRPr="002C1733" w14:paraId="353814A1" w14:textId="77777777">
        <w:tblPrEx>
          <w:tblCellMar>
            <w:top w:w="0" w:type="dxa"/>
            <w:bottom w:w="0" w:type="dxa"/>
          </w:tblCellMar>
        </w:tblPrEx>
        <w:tc>
          <w:tcPr>
            <w:tcW w:w="0" w:type="dxa"/>
            <w:tcMar>
              <w:top w:w="60" w:type="dxa"/>
              <w:left w:w="120" w:type="dxa"/>
              <w:bottom w:w="60" w:type="dxa"/>
              <w:right w:w="120" w:type="dxa"/>
            </w:tcMar>
          </w:tcPr>
          <w:p w14:paraId="4082AEBA"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b/>
                <w:bCs/>
                <w:sz w:val="20"/>
                <w:szCs w:val="20"/>
              </w:rPr>
              <w:t>Total</w:t>
            </w:r>
          </w:p>
        </w:tc>
        <w:tc>
          <w:tcPr>
            <w:tcW w:w="0" w:type="dxa"/>
            <w:tcMar>
              <w:top w:w="60" w:type="dxa"/>
              <w:left w:w="120" w:type="dxa"/>
              <w:bottom w:w="60" w:type="dxa"/>
              <w:right w:w="120" w:type="dxa"/>
            </w:tcMar>
          </w:tcPr>
          <w:p w14:paraId="7075EE82"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b/>
                <w:bCs/>
                <w:sz w:val="20"/>
                <w:szCs w:val="20"/>
              </w:rPr>
              <w:t>100%</w:t>
            </w:r>
          </w:p>
        </w:tc>
        <w:tc>
          <w:tcPr>
            <w:tcW w:w="0" w:type="dxa"/>
            <w:tcMar>
              <w:top w:w="60" w:type="dxa"/>
              <w:left w:w="120" w:type="dxa"/>
              <w:bottom w:w="60" w:type="dxa"/>
              <w:right w:w="120" w:type="dxa"/>
            </w:tcMar>
          </w:tcPr>
          <w:p w14:paraId="774BE25D" w14:textId="77777777" w:rsidR="009257BF" w:rsidRPr="002C1733" w:rsidRDefault="009257BF">
            <w:pPr>
              <w:spacing w:before="60" w:after="60" w:line="252" w:lineRule="auto"/>
              <w:rPr>
                <w:rFonts w:ascii="Times New Roman" w:hAnsi="Times New Roman" w:cs="Times New Roman"/>
              </w:rPr>
            </w:pPr>
          </w:p>
        </w:tc>
      </w:tr>
    </w:tbl>
    <w:p w14:paraId="437C2E4B" w14:textId="77777777" w:rsidR="009257BF" w:rsidRPr="002C1733" w:rsidRDefault="009257BF">
      <w:pPr>
        <w:spacing w:after="16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0234FC3B" w14:textId="77777777">
        <w:tblPrEx>
          <w:tblCellMar>
            <w:top w:w="0" w:type="dxa"/>
            <w:bottom w:w="0" w:type="dxa"/>
          </w:tblCellMar>
        </w:tblPrEx>
        <w:tc>
          <w:tcPr>
            <w:tcW w:w="9360" w:type="dxa"/>
            <w:shd w:val="clear" w:color="auto" w:fill="F4F1E8"/>
            <w:tcMar>
              <w:top w:w="160" w:type="dxa"/>
              <w:left w:w="200" w:type="dxa"/>
              <w:bottom w:w="160" w:type="dxa"/>
              <w:right w:w="200" w:type="dxa"/>
            </w:tcMar>
          </w:tcPr>
          <w:p w14:paraId="0E08C9DE"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b/>
                <w:bCs/>
              </w:rPr>
              <w:t xml:space="preserve">Total polished analytical prose: 5,200–6,300 words </w:t>
            </w:r>
            <w:r w:rsidRPr="002C1733">
              <w:rPr>
                <w:rFonts w:ascii="Times New Roman" w:hAnsi="Times New Roman" w:cs="Times New Roman"/>
              </w:rPr>
              <w:t>(Essay 1 + Essay 2 + research essay), plus roughly 1,200–1,800 words across the two creative responses. That is the COLL 150 workload, and it is frontloaded with support: no major assignment goes from blank page to grade without a draft, a workshop or conference, and a revision.</w:t>
            </w:r>
          </w:p>
        </w:tc>
      </w:tr>
    </w:tbl>
    <w:p w14:paraId="45BD07D9" w14:textId="77777777" w:rsidR="009257BF" w:rsidRPr="002C1733" w:rsidRDefault="009257BF">
      <w:pPr>
        <w:spacing w:after="160"/>
        <w:rPr>
          <w:rFonts w:ascii="Times New Roman" w:hAnsi="Times New Roman" w:cs="Times New Roman"/>
        </w:rPr>
      </w:pPr>
    </w:p>
    <w:p w14:paraId="7FE2F44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Essay 1 — Close Reading</w:t>
      </w:r>
    </w:p>
    <w:p w14:paraId="40C381CC"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Take a passage of no more than thirty lines (or one page, or one scene, or one game sequence under three minutes) from Units 1–4 and make an argument about how it works. Not what it means in the abstract; how the thing is built such that it means that. This is the foundational move of literary analysis and, done honestly, it is much harder than it sounds. Full revision required; I grade the revision.</w:t>
      </w:r>
    </w:p>
    <w:p w14:paraId="275735C5"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Essay 2 — Reading the Machine</w:t>
      </w:r>
    </w:p>
    <w:p w14:paraId="57B6850E"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Choose a technical artifact — a loss function, an evaluation benchmark, a reward specification, a model card, a dataset’s documentation, a paper’s Figure 1 — and read it the way you read your Essay 1 passage. What argument does it make? What does it take for granted? Who is imagined as its user, and who is imagined as its object? What does it exclude </w:t>
      </w:r>
      <w:proofErr w:type="gramStart"/>
      <w:r w:rsidRPr="002C1733">
        <w:rPr>
          <w:rFonts w:ascii="Times New Roman" w:hAnsi="Times New Roman" w:cs="Times New Roman"/>
        </w:rPr>
        <w:t>in order to</w:t>
      </w:r>
      <w:proofErr w:type="gramEnd"/>
      <w:r w:rsidRPr="002C1733">
        <w:rPr>
          <w:rFonts w:ascii="Times New Roman" w:hAnsi="Times New Roman" w:cs="Times New Roman"/>
        </w:rPr>
        <w:t xml:space="preserve"> be well-formed?</w:t>
      </w:r>
    </w:p>
    <w:p w14:paraId="101B56A9"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Midterm and Final — Creative Writing Responses</w:t>
      </w:r>
    </w:p>
    <w:p w14:paraId="03D84C71"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Twice this semester you will answer the course in fiction rather than argument: 600–900 words that take up a question we have been circling and think it through from the inside of a made mind, a maker, or the person in the box. These are not graded on polish. They are graded on whether the story knows what it is about. Prompts are distributed two weeks in advance; the midterm is due Thursday, October 15, and the final during the December exam period.</w:t>
      </w:r>
    </w:p>
    <w:p w14:paraId="1BF943A0"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Research Project</w:t>
      </w:r>
    </w:p>
    <w:p w14:paraId="44A409EC"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 semester-long argument of your own devising, on any question this course has provoked and that you can defend with evidence. We build it in stages: a question (Unit 9), a proposal and annotated bibliography (Unit 10, following our Swem Library session), a full draft due Friday, November 20, a remote peer workshop and individual conference during Workshop Week (November 23–24), and a final essay. You will present it at the Symposium in the final week.</w:t>
      </w:r>
    </w:p>
    <w:p w14:paraId="641D706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Grading scale</w:t>
      </w:r>
    </w:p>
    <w:p w14:paraId="586F3A0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 93–100 · A− 90–92 · B+ 87–89 · B 83–86 · B− 80–82 · C+ 77–79 · C 73–76 · C− 70–72 · D+ 67–69 · D 63–66 · D− 60–62 · F below 60</w:t>
      </w:r>
    </w:p>
    <w:p w14:paraId="3E11E101"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Late work</w:t>
      </w:r>
    </w:p>
    <w:p w14:paraId="4EF1C19F"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Every student has three no-questions-asked late days </w:t>
      </w:r>
      <w:r w:rsidRPr="002C1733">
        <w:rPr>
          <w:rFonts w:ascii="Times New Roman" w:hAnsi="Times New Roman" w:cs="Times New Roman"/>
        </w:rPr>
        <w:t xml:space="preserve">to spend across the semester on major assignments. Use them however you like; just tell me you are using one. Beyond that, work drops one-third of a letter grade per day. Late days may not be spent on the research draft due November 20, because the conference schedule depends on it, or on the Symposium. If something serious is happening in your life, do not spend your late </w:t>
      </w:r>
      <w:r w:rsidRPr="002C1733">
        <w:rPr>
          <w:rFonts w:ascii="Times New Roman" w:hAnsi="Times New Roman" w:cs="Times New Roman"/>
        </w:rPr>
        <w:lastRenderedPageBreak/>
        <w:t xml:space="preserve">days silently — come talk to me and we will </w:t>
      </w:r>
      <w:proofErr w:type="gramStart"/>
      <w:r w:rsidRPr="002C1733">
        <w:rPr>
          <w:rFonts w:ascii="Times New Roman" w:hAnsi="Times New Roman" w:cs="Times New Roman"/>
        </w:rPr>
        <w:t>make a plan</w:t>
      </w:r>
      <w:proofErr w:type="gramEnd"/>
      <w:r w:rsidRPr="002C1733">
        <w:rPr>
          <w:rFonts w:ascii="Times New Roman" w:hAnsi="Times New Roman" w:cs="Times New Roman"/>
        </w:rPr>
        <w:t>. I would much rather hear from you early than read an apology later.</w:t>
      </w:r>
    </w:p>
    <w:p w14:paraId="2B9DDDE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Attendance and seminar participation</w:t>
      </w:r>
    </w:p>
    <w:p w14:paraId="6257E64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This is a seminar. Its entire method is that you are in the room with each other, which means your absence is not only your own loss. Two absences carry no penalty and need no explanation. After the second, come talk to me so we can figure out how to keep you connected to the conversation. Miss more than five sessions and we will need to talk honestly about whether you can pass the course, regardless of the quality of your written work.</w:t>
      </w:r>
    </w:p>
    <w:p w14:paraId="61290994"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Illness, religious observance, athletic and academic travel, and family emergencies are excused and do not count against the five — just notify me when you can.</w:t>
      </w:r>
    </w:p>
    <w:p w14:paraId="7E6154E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Discussion leadership. </w:t>
      </w:r>
      <w:r w:rsidRPr="002C1733">
        <w:rPr>
          <w:rFonts w:ascii="Times New Roman" w:hAnsi="Times New Roman" w:cs="Times New Roman"/>
        </w:rPr>
        <w:t xml:space="preserve">Once during the semester, in a pair, you will open a session: fifteen minutes framing the reading and posing the questions you want the room to argue about. Sign-ups happen in Unit 2. This is not separately graded, but it is required, and it is where Learning Outcome 5 </w:t>
      </w:r>
      <w:proofErr w:type="gramStart"/>
      <w:r w:rsidRPr="002C1733">
        <w:rPr>
          <w:rFonts w:ascii="Times New Roman" w:hAnsi="Times New Roman" w:cs="Times New Roman"/>
        </w:rPr>
        <w:t>actually lives</w:t>
      </w:r>
      <w:proofErr w:type="gramEnd"/>
      <w:r w:rsidRPr="002C1733">
        <w:rPr>
          <w:rFonts w:ascii="Times New Roman" w:hAnsi="Times New Roman" w:cs="Times New Roman"/>
        </w:rPr>
        <w:t>.</w:t>
      </w:r>
    </w:p>
    <w:p w14:paraId="7703B99F"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POLICY ON GENERATIVE AI</w:t>
      </w:r>
    </w:p>
    <w:p w14:paraId="64F50B82"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We are going to spend a semester studying these systems. It would be strange to pretend they do not exist, and worse to pretend that using them is simple. </w:t>
      </w:r>
      <w:proofErr w:type="gramStart"/>
      <w:r w:rsidRPr="002C1733">
        <w:rPr>
          <w:rFonts w:ascii="Times New Roman" w:hAnsi="Times New Roman" w:cs="Times New Roman"/>
        </w:rPr>
        <w:t>So</w:t>
      </w:r>
      <w:proofErr w:type="gramEnd"/>
      <w:r w:rsidRPr="002C1733">
        <w:rPr>
          <w:rFonts w:ascii="Times New Roman" w:hAnsi="Times New Roman" w:cs="Times New Roman"/>
        </w:rPr>
        <w:t xml:space="preserve"> this policy has three tiers, and every submission in this course carries a short AI Use Statement — a few sentences, appended at the end, describing exactly what you used and how. An honest statement costs you nothing. A missing or false one is an Honor Code violation.</w:t>
      </w:r>
    </w:p>
    <w:p w14:paraId="27C77915"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Tier 0 — Unaided (the default for all graded prose)</w:t>
      </w:r>
    </w:p>
    <w:p w14:paraId="2A7CE1F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The first draft of every essay is yours: your sentences, your structure, your argument. Not because AI-assisted writing is cheating in some cosmic sense, but because the specific thing this course teaches you to do — sustain a difficult thought over two thousand words without letting it collapse into fluency — cannot be outsourced and then acquired. You are here to grow a capability. There is no shortcut, and the shortcut is the loss.</w:t>
      </w:r>
    </w:p>
    <w:p w14:paraId="13F57136"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Tier 1 — Permitted, with disclosure</w:t>
      </w:r>
    </w:p>
    <w:p w14:paraId="4A04EC1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Brainstorming, checking your understanding of a technical concept, translating a passage, glossing an unfamiliar term, and asking for feedback on a draft you have already written. Disclose it. This is ordinary tool </w:t>
      </w:r>
      <w:proofErr w:type="gramStart"/>
      <w:r w:rsidRPr="002C1733">
        <w:rPr>
          <w:rFonts w:ascii="Times New Roman" w:hAnsi="Times New Roman" w:cs="Times New Roman"/>
        </w:rPr>
        <w:t>use</w:t>
      </w:r>
      <w:proofErr w:type="gramEnd"/>
      <w:r w:rsidRPr="002C1733">
        <w:rPr>
          <w:rFonts w:ascii="Times New Roman" w:hAnsi="Times New Roman" w:cs="Times New Roman"/>
        </w:rPr>
        <w:t xml:space="preserve"> and I have no objection to it.</w:t>
      </w:r>
    </w:p>
    <w:p w14:paraId="39E25FDC"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Tier 2 — Required</w:t>
      </w:r>
    </w:p>
    <w:p w14:paraId="3C84608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At least twice this semester you will be required to use a generative model and then take it apart. (Unit 6: generate forty variations on a prompt and diagnose the collapse. Unit 9: have a model </w:t>
      </w:r>
      <w:proofErr w:type="gramStart"/>
      <w:r w:rsidRPr="002C1733">
        <w:rPr>
          <w:rFonts w:ascii="Times New Roman" w:hAnsi="Times New Roman" w:cs="Times New Roman"/>
        </w:rPr>
        <w:t>close-read</w:t>
      </w:r>
      <w:proofErr w:type="gramEnd"/>
      <w:r w:rsidRPr="002C1733">
        <w:rPr>
          <w:rFonts w:ascii="Times New Roman" w:hAnsi="Times New Roman" w:cs="Times New Roman"/>
        </w:rPr>
        <w:t xml:space="preserve"> the passage you wrote on in Essay 1, then grade its reading against your own.) These assignments only work if you engage the tool seriously and then look at the output with a cold eye.</w:t>
      </w:r>
    </w:p>
    <w:p w14:paraId="3D77DA35" w14:textId="77777777" w:rsidR="009257BF" w:rsidRPr="002C1733" w:rsidRDefault="009257BF">
      <w:pPr>
        <w:spacing w:after="8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6D816B3E" w14:textId="77777777">
        <w:tblPrEx>
          <w:tblCellMar>
            <w:top w:w="0" w:type="dxa"/>
            <w:bottom w:w="0" w:type="dxa"/>
          </w:tblCellMar>
        </w:tblPrEx>
        <w:tc>
          <w:tcPr>
            <w:tcW w:w="9360" w:type="dxa"/>
            <w:shd w:val="clear" w:color="auto" w:fill="F4F1E8"/>
            <w:tcMar>
              <w:top w:w="160" w:type="dxa"/>
              <w:left w:w="200" w:type="dxa"/>
              <w:bottom w:w="160" w:type="dxa"/>
              <w:right w:w="200" w:type="dxa"/>
            </w:tcMar>
          </w:tcPr>
          <w:p w14:paraId="39FB01D0"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b/>
                <w:bCs/>
              </w:rPr>
              <w:t xml:space="preserve">The principle underneath all three tiers: you may use these systems as instruments, never as authors. </w:t>
            </w:r>
            <w:r w:rsidRPr="002C1733">
              <w:rPr>
                <w:rFonts w:ascii="Times New Roman" w:hAnsi="Times New Roman" w:cs="Times New Roman"/>
              </w:rPr>
              <w:t xml:space="preserve">If you are ever unsure which side of the </w:t>
            </w:r>
            <w:proofErr w:type="gramStart"/>
            <w:r w:rsidRPr="002C1733">
              <w:rPr>
                <w:rFonts w:ascii="Times New Roman" w:hAnsi="Times New Roman" w:cs="Times New Roman"/>
              </w:rPr>
              <w:t>line</w:t>
            </w:r>
            <w:proofErr w:type="gramEnd"/>
            <w:r w:rsidRPr="002C1733">
              <w:rPr>
                <w:rFonts w:ascii="Times New Roman" w:hAnsi="Times New Roman" w:cs="Times New Roman"/>
              </w:rPr>
              <w:t xml:space="preserve"> you are on, the fact that you are unsure is information. Ask me. I will not be angry; I will be interested.</w:t>
            </w:r>
          </w:p>
        </w:tc>
      </w:tr>
    </w:tbl>
    <w:p w14:paraId="18FC0BD5"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SCHEDULE</w:t>
      </w:r>
    </w:p>
    <w:p w14:paraId="185EA9D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lastRenderedPageBreak/>
        <w:t>Dates follow the W&amp;M 2026–2027 undergraduate academic calendar: classes begin August 26; Fall Break is October 8–11; no classes on Election Day, November 3; November 23–24 are remote instruction days; Thanksgiving Break is November 25–29; the last day of classes is December 4. Reading periods are December 5–6 and 12–13; final exam periods are December 7–11 and 14–15. Dates are subject to change; the Registrar’s calendar governs.</w:t>
      </w:r>
    </w:p>
    <w:p w14:paraId="02A6978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Readings are to be completed before the first meeting of the unit listed</w:t>
      </w:r>
      <w:r w:rsidRPr="002C1733">
        <w:rPr>
          <w:rFonts w:ascii="Times New Roman" w:hAnsi="Times New Roman" w:cs="Times New Roman"/>
        </w:rPr>
        <w:t xml:space="preserve">, unless a split is noted. Each unit names a </w:t>
      </w:r>
      <w:r w:rsidRPr="002C1733">
        <w:rPr>
          <w:rFonts w:ascii="Times New Roman" w:hAnsi="Times New Roman" w:cs="Times New Roman"/>
          <w:i/>
          <w:iCs/>
        </w:rPr>
        <w:t>writing focus</w:t>
      </w:r>
      <w:r w:rsidRPr="002C1733">
        <w:rPr>
          <w:rFonts w:ascii="Times New Roman" w:hAnsi="Times New Roman" w:cs="Times New Roman"/>
        </w:rPr>
        <w:t xml:space="preserve"> — the craft skill we practice alongside the content.</w:t>
      </w:r>
    </w:p>
    <w:p w14:paraId="4C105B54"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1 · Metamorphoses: Galatea &amp; Pygmalion</w:t>
      </w:r>
    </w:p>
    <w:p w14:paraId="2A8C8953"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AUGUST 26 – 28</w:t>
      </w:r>
    </w:p>
    <w:p w14:paraId="6C7CFD88"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Course launch. Only one meeting this week (Thursday, August 27). Nothing is due before the first day — come as you are.</w:t>
      </w:r>
    </w:p>
    <w:p w14:paraId="12173615"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Ovid</w:t>
      </w:r>
      <w:proofErr w:type="gramEnd"/>
      <w:r w:rsidRPr="002C1733">
        <w:rPr>
          <w:rFonts w:ascii="Times New Roman" w:hAnsi="Times New Roman" w:cs="Times New Roman"/>
        </w:rPr>
        <w:t>, Metamorphoses Book X (Pygmalion), and Book III (Narcissus &amp; Echo) for contrast. Read for Thursday if you can; we will also read aloud in class.</w:t>
      </w:r>
    </w:p>
    <w:p w14:paraId="1F8277DB"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ALSO  </w:t>
      </w:r>
      <w:r w:rsidRPr="002C1733">
        <w:rPr>
          <w:rFonts w:ascii="Times New Roman" w:hAnsi="Times New Roman" w:cs="Times New Roman"/>
        </w:rPr>
        <w:t>The</w:t>
      </w:r>
      <w:proofErr w:type="gramEnd"/>
      <w:r w:rsidRPr="002C1733">
        <w:rPr>
          <w:rFonts w:ascii="Times New Roman" w:hAnsi="Times New Roman" w:cs="Times New Roman"/>
        </w:rPr>
        <w:t xml:space="preserve"> syllabus, in full, out loud, together.</w:t>
      </w:r>
    </w:p>
    <w:p w14:paraId="6B3CD72F"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We begin with the oldest version of the story: a man who cannot bear real women makes an ideal one out of ivory, and the gods reward him by making her real. Notice what Ovid does not give her. She has no name in the poem — “Galatea” is a later invention, an addition by people who could not tolerate the silence. Notice that the poem is more interested in Pygmalion’s hands than in her waking. Every chatbot with a soothing voice is downstream of this scene.</w:t>
      </w:r>
    </w:p>
    <w:p w14:paraId="181822FC"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does it mean to make a companion who cannot refuse?</w:t>
      </w:r>
    </w:p>
    <w:p w14:paraId="7102C93A"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What</w:t>
      </w:r>
      <w:proofErr w:type="gramEnd"/>
      <w:r w:rsidRPr="002C1733">
        <w:rPr>
          <w:rFonts w:ascii="Times New Roman" w:hAnsi="Times New Roman" w:cs="Times New Roman"/>
        </w:rPr>
        <w:t xml:space="preserve"> close reading is. Annotation as thinking.</w:t>
      </w:r>
    </w:p>
    <w:p w14:paraId="12EEB24E"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2 · Frankenstein</w:t>
      </w:r>
    </w:p>
    <w:p w14:paraId="6A3B13F4"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AUGUST 31 – SEPTEMBER 4</w:t>
      </w:r>
    </w:p>
    <w:p w14:paraId="77796BA0"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Shelley</w:t>
      </w:r>
      <w:proofErr w:type="gramEnd"/>
      <w:r w:rsidRPr="002C1733">
        <w:rPr>
          <w:rFonts w:ascii="Times New Roman" w:hAnsi="Times New Roman" w:cs="Times New Roman"/>
        </w:rPr>
        <w:t xml:space="preserve">, Frankenstein (1818 text, Norton Critical 3rd ed.) — Volumes I–II for Tuesday, Volume III for Thursday; </w:t>
      </w:r>
      <w:proofErr w:type="gramStart"/>
      <w:r w:rsidRPr="002C1733">
        <w:rPr>
          <w:rFonts w:ascii="Times New Roman" w:hAnsi="Times New Roman" w:cs="Times New Roman"/>
        </w:rPr>
        <w:t>plus</w:t>
      </w:r>
      <w:proofErr w:type="gramEnd"/>
      <w:r w:rsidRPr="002C1733">
        <w:rPr>
          <w:rFonts w:ascii="Times New Roman" w:hAnsi="Times New Roman" w:cs="Times New Roman"/>
        </w:rPr>
        <w:t xml:space="preserve"> the 1831 Introduction and one critical essay from the Norton apparatus (your choice) for Thursday.</w:t>
      </w:r>
    </w:p>
    <w:p w14:paraId="0822E039"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 xml:space="preserve">This is a lot for the second week of college. Start it the weekend before if you </w:t>
      </w:r>
      <w:proofErr w:type="gramStart"/>
      <w:r w:rsidRPr="002C1733">
        <w:rPr>
          <w:rFonts w:ascii="Times New Roman" w:hAnsi="Times New Roman" w:cs="Times New Roman"/>
          <w:i/>
          <w:iCs/>
          <w:color w:val="444444"/>
          <w:sz w:val="19"/>
          <w:szCs w:val="19"/>
        </w:rPr>
        <w:t>can, and</w:t>
      </w:r>
      <w:proofErr w:type="gramEnd"/>
      <w:r w:rsidRPr="002C1733">
        <w:rPr>
          <w:rFonts w:ascii="Times New Roman" w:hAnsi="Times New Roman" w:cs="Times New Roman"/>
          <w:i/>
          <w:iCs/>
          <w:color w:val="444444"/>
          <w:sz w:val="19"/>
          <w:szCs w:val="19"/>
        </w:rPr>
        <w:t xml:space="preserve"> read for the shape of the thing rather than for every word — we will slow down together in class.</w:t>
      </w:r>
    </w:p>
    <w:p w14:paraId="3D00B15D"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The creature learns language by eavesdropping through a wall on a family that will reject him on sight. He is, among other things, the most vivid account we have of what it might feel like to be trained on a corpus and then despised for what you became.</w:t>
      </w:r>
    </w:p>
    <w:p w14:paraId="5EA121A3"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Shelley’s real subject is not the making — the making takes two paragraphs — it is the abandonment. Victor’s crime is not creation. It is that he refuses the obligations of the created relationship.</w:t>
      </w:r>
    </w:p>
    <w:p w14:paraId="669456C9"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does a maker owe what they have made?</w:t>
      </w:r>
    </w:p>
    <w:p w14:paraId="63D23E6D"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Evidence</w:t>
      </w:r>
      <w:proofErr w:type="gramEnd"/>
      <w:r w:rsidRPr="002C1733">
        <w:rPr>
          <w:rFonts w:ascii="Times New Roman" w:hAnsi="Times New Roman" w:cs="Times New Roman"/>
        </w:rPr>
        <w:t xml:space="preserve">. Quoting </w:t>
      </w:r>
      <w:proofErr w:type="gramStart"/>
      <w:r w:rsidRPr="002C1733">
        <w:rPr>
          <w:rFonts w:ascii="Times New Roman" w:hAnsi="Times New Roman" w:cs="Times New Roman"/>
        </w:rPr>
        <w:t>well, and</w:t>
      </w:r>
      <w:proofErr w:type="gramEnd"/>
      <w:r w:rsidRPr="002C1733">
        <w:rPr>
          <w:rFonts w:ascii="Times New Roman" w:hAnsi="Times New Roman" w:cs="Times New Roman"/>
        </w:rPr>
        <w:t xml:space="preserve"> quoting little. Discussion-leadership sign-ups.</w:t>
      </w:r>
    </w:p>
    <w:p w14:paraId="13B1BA89"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3 · Simulation and Synthetic Personhood</w:t>
      </w:r>
    </w:p>
    <w:p w14:paraId="244DD291"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SEPTEMBER 7 – 11</w:t>
      </w:r>
    </w:p>
    <w:p w14:paraId="5893D260"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No classes Monday, September 7 (Labor Day). Our Tu/Th meetings are unaffected.</w:t>
      </w:r>
    </w:p>
    <w:p w14:paraId="39FA9494" w14:textId="77777777" w:rsidR="009257BF" w:rsidRPr="002C1733" w:rsidRDefault="00000000">
      <w:pPr>
        <w:spacing w:after="100" w:line="264" w:lineRule="auto"/>
        <w:ind w:left="360" w:hanging="360"/>
        <w:rPr>
          <w:rFonts w:ascii="Times New Roman" w:hAnsi="Times New Roman" w:cs="Times New Roman"/>
        </w:rPr>
      </w:pPr>
      <w:r w:rsidRPr="002C1733">
        <w:rPr>
          <w:rFonts w:ascii="Times New Roman" w:hAnsi="Times New Roman" w:cs="Times New Roman"/>
          <w:b/>
          <w:bCs/>
          <w:color w:val="115740"/>
          <w:spacing w:val="14"/>
          <w:sz w:val="19"/>
          <w:szCs w:val="19"/>
        </w:rPr>
        <w:t xml:space="preserve">WATCH / </w:t>
      </w:r>
      <w:proofErr w:type="gramStart"/>
      <w:r w:rsidRPr="002C1733">
        <w:rPr>
          <w:rFonts w:ascii="Times New Roman" w:hAnsi="Times New Roman" w:cs="Times New Roman"/>
          <w:b/>
          <w:bCs/>
          <w:color w:val="115740"/>
          <w:spacing w:val="14"/>
          <w:sz w:val="19"/>
          <w:szCs w:val="19"/>
        </w:rPr>
        <w:t xml:space="preserve">PLAY  </w:t>
      </w:r>
      <w:r w:rsidRPr="002C1733">
        <w:rPr>
          <w:rFonts w:ascii="Times New Roman" w:hAnsi="Times New Roman" w:cs="Times New Roman"/>
        </w:rPr>
        <w:t>The</w:t>
      </w:r>
      <w:proofErr w:type="gramEnd"/>
      <w:r w:rsidRPr="002C1733">
        <w:rPr>
          <w:rFonts w:ascii="Times New Roman" w:hAnsi="Times New Roman" w:cs="Times New Roman"/>
        </w:rPr>
        <w:t xml:space="preserve"> Matrix (full). Curated sequences on Blackboard: the </w:t>
      </w:r>
      <w:proofErr w:type="spellStart"/>
      <w:r w:rsidRPr="002C1733">
        <w:rPr>
          <w:rFonts w:ascii="Times New Roman" w:hAnsi="Times New Roman" w:cs="Times New Roman"/>
        </w:rPr>
        <w:t>geth</w:t>
      </w:r>
      <w:proofErr w:type="spellEnd"/>
      <w:r w:rsidRPr="002C1733">
        <w:rPr>
          <w:rFonts w:ascii="Times New Roman" w:hAnsi="Times New Roman" w:cs="Times New Roman"/>
        </w:rPr>
        <w:t>/</w:t>
      </w:r>
      <w:proofErr w:type="spellStart"/>
      <w:r w:rsidRPr="002C1733">
        <w:rPr>
          <w:rFonts w:ascii="Times New Roman" w:hAnsi="Times New Roman" w:cs="Times New Roman"/>
        </w:rPr>
        <w:t>quarian</w:t>
      </w:r>
      <w:proofErr w:type="spellEnd"/>
      <w:r w:rsidRPr="002C1733">
        <w:rPr>
          <w:rFonts w:ascii="Times New Roman" w:hAnsi="Times New Roman" w:cs="Times New Roman"/>
        </w:rPr>
        <w:t xml:space="preserve"> arc and EDI’s storyline from Mass Effect 2–3; the Kara and Markus chapters from Detroit: Become Human.</w:t>
      </w:r>
    </w:p>
    <w:p w14:paraId="5D22B43A"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Ian</w:t>
      </w:r>
      <w:proofErr w:type="gramEnd"/>
      <w:r w:rsidRPr="002C1733">
        <w:rPr>
          <w:rFonts w:ascii="Times New Roman" w:hAnsi="Times New Roman" w:cs="Times New Roman"/>
        </w:rPr>
        <w:t xml:space="preserve"> Bogost, “The Rhetoric of Video Games,” in The Ecology of Games, ed. Katie Salen (MIT Press, 2008) — on how to analyze a game as a text.</w:t>
      </w:r>
    </w:p>
    <w:p w14:paraId="1768F355"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lastRenderedPageBreak/>
        <w:t>Three works that all ask whether a synthetic person can be a person, and answer very differently. The Matrix is not really about AI; it is about waking up, and the AI is scenery. Mass Effect makes you negotiate with a machine civilization and quietly grades you on it. Detroit hands you the controller and implicates you: you make the androids ask for their freedom, and the game watches how you do it.</w:t>
      </w:r>
    </w:p>
    <w:p w14:paraId="304BCAB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We will be hard on Detroit — its civil-rights imagery is </w:t>
      </w:r>
      <w:proofErr w:type="gramStart"/>
      <w:r w:rsidRPr="002C1733">
        <w:rPr>
          <w:rFonts w:ascii="Times New Roman" w:hAnsi="Times New Roman" w:cs="Times New Roman"/>
        </w:rPr>
        <w:t>borrowed, and</w:t>
      </w:r>
      <w:proofErr w:type="gramEnd"/>
      <w:r w:rsidRPr="002C1733">
        <w:rPr>
          <w:rFonts w:ascii="Times New Roman" w:hAnsi="Times New Roman" w:cs="Times New Roman"/>
        </w:rPr>
        <w:t xml:space="preserve"> borrowed clumsily — and we will ask what that failure teaches us.</w:t>
      </w:r>
    </w:p>
    <w:p w14:paraId="66AB8E5D"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When</w:t>
      </w:r>
      <w:proofErr w:type="gramEnd"/>
      <w:r w:rsidRPr="002C1733">
        <w:rPr>
          <w:rFonts w:ascii="Times New Roman" w:hAnsi="Times New Roman" w:cs="Times New Roman"/>
          <w:i/>
          <w:iCs/>
        </w:rPr>
        <w:t xml:space="preserve"> a text lets you choose, what has it made you responsible for?</w:t>
      </w:r>
    </w:p>
    <w:p w14:paraId="5E816A1D"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Analyzing</w:t>
      </w:r>
      <w:proofErr w:type="gramEnd"/>
      <w:r w:rsidRPr="002C1733">
        <w:rPr>
          <w:rFonts w:ascii="Times New Roman" w:hAnsi="Times New Roman" w:cs="Times New Roman"/>
        </w:rPr>
        <w:t xml:space="preserve"> interactive and audiovisual texts. Citing a game. Essay 1 assigned.</w:t>
      </w:r>
    </w:p>
    <w:p w14:paraId="25D0BCB1"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4 · The Sentient Object: Toriyama Sekien’s Yokai Encyclopedias</w:t>
      </w:r>
    </w:p>
    <w:p w14:paraId="53E3AA31"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SEPTEMBER 14 – 18</w:t>
      </w:r>
    </w:p>
    <w:p w14:paraId="6004F61C"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Sekien</w:t>
      </w:r>
      <w:proofErr w:type="gramEnd"/>
      <w:r w:rsidRPr="002C1733">
        <w:rPr>
          <w:rFonts w:ascii="Times New Roman" w:hAnsi="Times New Roman" w:cs="Times New Roman"/>
        </w:rPr>
        <w:t xml:space="preserve">, </w:t>
      </w:r>
      <w:proofErr w:type="spellStart"/>
      <w:r w:rsidRPr="002C1733">
        <w:rPr>
          <w:rFonts w:ascii="Times New Roman" w:hAnsi="Times New Roman" w:cs="Times New Roman"/>
        </w:rPr>
        <w:t>Japandemonium</w:t>
      </w:r>
      <w:proofErr w:type="spellEnd"/>
      <w:r w:rsidRPr="002C1733">
        <w:rPr>
          <w:rFonts w:ascii="Times New Roman" w:hAnsi="Times New Roman" w:cs="Times New Roman"/>
        </w:rPr>
        <w:t xml:space="preserve"> Illustrated, selections (esp. the </w:t>
      </w:r>
      <w:proofErr w:type="spellStart"/>
      <w:r w:rsidRPr="002C1733">
        <w:rPr>
          <w:rFonts w:ascii="Times New Roman" w:hAnsi="Times New Roman" w:cs="Times New Roman"/>
        </w:rPr>
        <w:t>tsukumogami</w:t>
      </w:r>
      <w:proofErr w:type="spellEnd"/>
      <w:r w:rsidRPr="002C1733">
        <w:rPr>
          <w:rFonts w:ascii="Times New Roman" w:hAnsi="Times New Roman" w:cs="Times New Roman"/>
        </w:rPr>
        <w:t>); Michael Dylan Foster, The Book of Yokai (Univ. of California Press), chapter on tools and objects [excerpt].</w:t>
      </w:r>
    </w:p>
    <w:p w14:paraId="396287FC"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Now step outside the Western frame entirely. In the </w:t>
      </w:r>
      <w:proofErr w:type="spellStart"/>
      <w:r w:rsidRPr="002C1733">
        <w:rPr>
          <w:rFonts w:ascii="Times New Roman" w:hAnsi="Times New Roman" w:cs="Times New Roman"/>
        </w:rPr>
        <w:t>tsukumogami</w:t>
      </w:r>
      <w:proofErr w:type="spellEnd"/>
      <w:r w:rsidRPr="002C1733">
        <w:rPr>
          <w:rFonts w:ascii="Times New Roman" w:hAnsi="Times New Roman" w:cs="Times New Roman"/>
        </w:rPr>
        <w:t xml:space="preserve"> tradition, an object that has been used and kept for a hundred years may simply wake up. There is no maker. There is no spark, no lightning, no transgression. There is no hubris to be punished, because nothing has been usurped. Sentience is not conferred; it accrues — through use, through time, through being kept.</w:t>
      </w:r>
    </w:p>
    <w:p w14:paraId="1407930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A caution we will take seriously: </w:t>
      </w:r>
      <w:proofErr w:type="spellStart"/>
      <w:r w:rsidRPr="002C1733">
        <w:rPr>
          <w:rFonts w:ascii="Times New Roman" w:hAnsi="Times New Roman" w:cs="Times New Roman"/>
        </w:rPr>
        <w:t>Sekien</w:t>
      </w:r>
      <w:proofErr w:type="spellEnd"/>
      <w:r w:rsidRPr="002C1733">
        <w:rPr>
          <w:rFonts w:ascii="Times New Roman" w:hAnsi="Times New Roman" w:cs="Times New Roman"/>
        </w:rPr>
        <w:t xml:space="preserve"> is an eighteenth-century illustrator working in printed books, and the hundred-year conceit is older than he is — it comes to him from the medieval </w:t>
      </w:r>
      <w:proofErr w:type="spellStart"/>
      <w:r w:rsidRPr="002C1733">
        <w:rPr>
          <w:rFonts w:ascii="Times New Roman" w:hAnsi="Times New Roman" w:cs="Times New Roman"/>
        </w:rPr>
        <w:t>Tsukumogami</w:t>
      </w:r>
      <w:proofErr w:type="spellEnd"/>
      <w:r w:rsidRPr="002C1733">
        <w:rPr>
          <w:rFonts w:ascii="Times New Roman" w:hAnsi="Times New Roman" w:cs="Times New Roman"/>
        </w:rPr>
        <w:t>-ki and the scroll tradition behind it. He is a compiler and an inventor, not a source. Reading him as folklore rather than as authorship is its own kind of error.</w:t>
      </w:r>
    </w:p>
    <w:p w14:paraId="01A0748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Hold this against Units 1 and 2 and the whole Promethean structure starts to look less like a truth about made minds and more like a local cultural habit — one we have inherited, and one we are currently building products inside of. Ask yourself which framework better describes a system trained on ten years of human text.</w:t>
      </w:r>
    </w:p>
    <w:p w14:paraId="03A1F6C5"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Must</w:t>
      </w:r>
      <w:proofErr w:type="gramEnd"/>
      <w:r w:rsidRPr="002C1733">
        <w:rPr>
          <w:rFonts w:ascii="Times New Roman" w:hAnsi="Times New Roman" w:cs="Times New Roman"/>
          <w:i/>
          <w:iCs/>
        </w:rPr>
        <w:t xml:space="preserve"> a mind be made, or can it simply accumulate?</w:t>
      </w:r>
    </w:p>
    <w:p w14:paraId="778493BE"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Comparison</w:t>
      </w:r>
      <w:proofErr w:type="gramEnd"/>
      <w:r w:rsidRPr="002C1733">
        <w:rPr>
          <w:rFonts w:ascii="Times New Roman" w:hAnsi="Times New Roman" w:cs="Times New Roman"/>
        </w:rPr>
        <w:t xml:space="preserve"> as an argumentative structure.</w:t>
      </w:r>
    </w:p>
    <w:p w14:paraId="3424E3DC"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5 · Loss Function and Gradient Descent</w:t>
      </w:r>
    </w:p>
    <w:p w14:paraId="06464C83"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SEPTEMBER 21 – 25</w:t>
      </w:r>
    </w:p>
    <w:p w14:paraId="51F1EC0B"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First technical unit. Taught from zero — no background assumed.</w:t>
      </w:r>
    </w:p>
    <w:p w14:paraId="48F95383" w14:textId="77777777" w:rsidR="009257BF" w:rsidRPr="002C1733" w:rsidRDefault="00000000">
      <w:pPr>
        <w:spacing w:after="100" w:line="264" w:lineRule="auto"/>
        <w:ind w:left="360" w:hanging="360"/>
        <w:rPr>
          <w:rFonts w:ascii="Times New Roman" w:hAnsi="Times New Roman" w:cs="Times New Roman"/>
        </w:rPr>
      </w:pPr>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3Blue1Brown, Neural Networks, chs. 1–2.</w:t>
      </w:r>
    </w:p>
    <w:p w14:paraId="2005A98D"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Amodei</w:t>
      </w:r>
      <w:proofErr w:type="gramEnd"/>
      <w:r w:rsidRPr="002C1733">
        <w:rPr>
          <w:rFonts w:ascii="Times New Roman" w:hAnsi="Times New Roman" w:cs="Times New Roman"/>
        </w:rPr>
        <w:t xml:space="preserve"> et al., “Concrete Problems in AI Safety,” §§1–3; </w:t>
      </w:r>
      <w:proofErr w:type="spellStart"/>
      <w:r w:rsidRPr="002C1733">
        <w:rPr>
          <w:rFonts w:ascii="Times New Roman" w:hAnsi="Times New Roman" w:cs="Times New Roman"/>
        </w:rPr>
        <w:t>Krakovna</w:t>
      </w:r>
      <w:proofErr w:type="spellEnd"/>
      <w:r w:rsidRPr="002C1733">
        <w:rPr>
          <w:rFonts w:ascii="Times New Roman" w:hAnsi="Times New Roman" w:cs="Times New Roman"/>
        </w:rPr>
        <w:t xml:space="preserve"> et al., “Specification Gaming,” with the accompanying list of examples.</w:t>
      </w:r>
    </w:p>
    <w:p w14:paraId="14463B5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A loss function is a number that says how wrong the system currently is. Gradient descent is the procedure for being slightly less wrong, </w:t>
      </w:r>
      <w:proofErr w:type="gramStart"/>
      <w:r w:rsidRPr="002C1733">
        <w:rPr>
          <w:rFonts w:ascii="Times New Roman" w:hAnsi="Times New Roman" w:cs="Times New Roman"/>
        </w:rPr>
        <w:t>over and over</w:t>
      </w:r>
      <w:proofErr w:type="gramEnd"/>
      <w:r w:rsidRPr="002C1733">
        <w:rPr>
          <w:rFonts w:ascii="Times New Roman" w:hAnsi="Times New Roman" w:cs="Times New Roman"/>
        </w:rPr>
        <w:t>, forever. That is the whole thing. Everything modern AI does emerges from those two sentences and a great deal of electricity.</w:t>
      </w:r>
    </w:p>
    <w:p w14:paraId="655F96D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And then the humanistic turn, which is the point of this course: a loss function is a value statement. Someone sat down and wrote what “wrong” means. Someone decided what would be measured and, necessarily, what would not be. Every optimization is an argument about what matters, made in the imperative mood, and then executed a trillion times without further reflection.</w:t>
      </w:r>
    </w:p>
    <w:p w14:paraId="1F2B1B04"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We will look at systems that optimized exactly what they were told and produced monstrosities — the boat that spins in circles collecting points instead of finishing the race — and we will ask whether Victor Frankenstein, too, optimized the wrong objective.</w:t>
      </w:r>
    </w:p>
    <w:p w14:paraId="53B8188E"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Who</w:t>
      </w:r>
      <w:proofErr w:type="gramEnd"/>
      <w:r w:rsidRPr="002C1733">
        <w:rPr>
          <w:rFonts w:ascii="Times New Roman" w:hAnsi="Times New Roman" w:cs="Times New Roman"/>
          <w:i/>
          <w:iCs/>
        </w:rPr>
        <w:t xml:space="preserve"> writes the definition of “wrong,” and what happens to everything they left out?</w:t>
      </w:r>
    </w:p>
    <w:p w14:paraId="5892F0F4"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lastRenderedPageBreak/>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Explaining</w:t>
      </w:r>
      <w:proofErr w:type="gramEnd"/>
      <w:r w:rsidRPr="002C1733">
        <w:rPr>
          <w:rFonts w:ascii="Times New Roman" w:hAnsi="Times New Roman" w:cs="Times New Roman"/>
        </w:rPr>
        <w:t xml:space="preserve"> a technical concept in plain prose. Essay 1 draft due.</w:t>
      </w:r>
    </w:p>
    <w:p w14:paraId="183293AA"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6 · Mode Collapse</w:t>
      </w:r>
    </w:p>
    <w:p w14:paraId="67579E1F"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SEPTEMBER 28 – OCTOBER 2</w:t>
      </w:r>
    </w:p>
    <w:p w14:paraId="275A0266"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Goodfellow</w:t>
      </w:r>
      <w:proofErr w:type="gramEnd"/>
      <w:r w:rsidRPr="002C1733">
        <w:rPr>
          <w:rFonts w:ascii="Times New Roman" w:hAnsi="Times New Roman" w:cs="Times New Roman"/>
        </w:rPr>
        <w:t xml:space="preserve"> et al., “Generative Adversarial Networks” (2014) — abstract, Fig. 1, §3; Goodfellow, “NIPS 2016 Tutorial,” §5.1.1 (where mode collapse is </w:t>
      </w:r>
      <w:proofErr w:type="gramStart"/>
      <w:r w:rsidRPr="002C1733">
        <w:rPr>
          <w:rFonts w:ascii="Times New Roman" w:hAnsi="Times New Roman" w:cs="Times New Roman"/>
        </w:rPr>
        <w:t>actually named</w:t>
      </w:r>
      <w:proofErr w:type="gramEnd"/>
      <w:r w:rsidRPr="002C1733">
        <w:rPr>
          <w:rFonts w:ascii="Times New Roman" w:hAnsi="Times New Roman" w:cs="Times New Roman"/>
        </w:rPr>
        <w:t>); Bender et al., “On the Dangers of Stochastic Parrots”; excerpt from Ruha Benjamin, Race After Technology.</w:t>
      </w:r>
    </w:p>
    <w:p w14:paraId="431AD58D"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DO  </w:t>
      </w:r>
      <w:r w:rsidRPr="002C1733">
        <w:rPr>
          <w:rFonts w:ascii="Times New Roman" w:hAnsi="Times New Roman" w:cs="Times New Roman"/>
        </w:rPr>
        <w:t>Tier</w:t>
      </w:r>
      <w:proofErr w:type="gramEnd"/>
      <w:r w:rsidRPr="002C1733">
        <w:rPr>
          <w:rFonts w:ascii="Times New Roman" w:hAnsi="Times New Roman" w:cs="Times New Roman"/>
        </w:rPr>
        <w:t xml:space="preserve"> 2 AI exercise — generate forty variations on a single prompt. Bring the results. Diagnose what died.</w:t>
      </w:r>
    </w:p>
    <w:p w14:paraId="777F5B8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 generative model suffering mode collapse has discovered that a small number of outputs reliably satisfy its critic, and so it produces those, and only those, forever. It has not broken. It is succeeding — narrowly and perfectly — at the thing it was asked to do. The diversity of the world is not part of the objective, so the diversity of the world quietly disappears.</w:t>
      </w:r>
    </w:p>
    <w:p w14:paraId="6BE78463"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I want you to sit with how good a metaphor this is, and then I want you to be suspicious of how good a metaphor this is. The temptation to reach for a technical term as a poetic figure is exactly the intellectual move this course is training you to make carefully, with the mechanism in hand. What is lost when the model finds the answer that always pleases? What is lost when a person does?</w:t>
      </w:r>
    </w:p>
    <w:p w14:paraId="2BCEC047"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disappears when a system optimizes for approval?</w:t>
      </w:r>
    </w:p>
    <w:p w14:paraId="35B33671"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From</w:t>
      </w:r>
      <w:proofErr w:type="gramEnd"/>
      <w:r w:rsidRPr="002C1733">
        <w:rPr>
          <w:rFonts w:ascii="Times New Roman" w:hAnsi="Times New Roman" w:cs="Times New Roman"/>
        </w:rPr>
        <w:t xml:space="preserve"> metaphor to argument — using a technical concept analytically without abusing it.</w:t>
      </w:r>
    </w:p>
    <w:p w14:paraId="373C4DF1"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7 · Doctor Faustus and the Madness of Knowledge</w:t>
      </w:r>
    </w:p>
    <w:p w14:paraId="1F86D591"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OCTOBER 5 – 9</w:t>
      </w:r>
    </w:p>
    <w:p w14:paraId="12BBEC4D"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Fall Break begins Thursday, October 8 — only one meeting this week (Tuesday, October 6). Reading is front-loaded accordingly.</w:t>
      </w:r>
    </w:p>
    <w:p w14:paraId="4E650A88"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Marlowe</w:t>
      </w:r>
      <w:proofErr w:type="gramEnd"/>
      <w:r w:rsidRPr="002C1733">
        <w:rPr>
          <w:rFonts w:ascii="Times New Roman" w:hAnsi="Times New Roman" w:cs="Times New Roman"/>
        </w:rPr>
        <w:t>, Doctor Faustus (A-text; we will compare against the B-text in class); Connor, The Madness of Knowledge, Introduction and chs. 1–2. (We return to Connor in Unit 9 — you do not need the whole book this week.)</w:t>
      </w:r>
    </w:p>
    <w:p w14:paraId="1551E4F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Faustus sells his soul for total knowledge and then, catastrophically, cannot think of anything to do with it. He asks for the secrets of the cosmos and gets a lecture on astronomy he could have found in a book. He conjures Helen of Troy — an image, a simulation, a beautiful nothing — and kisses it. Marlowe’s genius is that the tragedy is not damnation. The tragedy is banality: he had everything, and he wanted parlor tricks.</w:t>
      </w:r>
    </w:p>
    <w:p w14:paraId="01C99E3E"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Is</w:t>
      </w:r>
      <w:proofErr w:type="gramEnd"/>
      <w:r w:rsidRPr="002C1733">
        <w:rPr>
          <w:rFonts w:ascii="Times New Roman" w:hAnsi="Times New Roman" w:cs="Times New Roman"/>
          <w:i/>
          <w:iCs/>
        </w:rPr>
        <w:t xml:space="preserve"> the danger of knowledge that it corrupts, or that it disappoints?</w:t>
      </w:r>
    </w:p>
    <w:p w14:paraId="2EC86114"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Revision</w:t>
      </w:r>
      <w:proofErr w:type="gramEnd"/>
      <w:r w:rsidRPr="002C1733">
        <w:rPr>
          <w:rFonts w:ascii="Times New Roman" w:hAnsi="Times New Roman" w:cs="Times New Roman"/>
        </w:rPr>
        <w:t xml:space="preserve"> as re-seeing. Essay 1 revision due.</w:t>
      </w:r>
    </w:p>
    <w:p w14:paraId="58410AB7"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8 · Reinforcement Learning: The Purpose of a Name</w:t>
      </w:r>
    </w:p>
    <w:p w14:paraId="52450624"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OCTOBER 12 – 16</w:t>
      </w:r>
    </w:p>
    <w:p w14:paraId="3D096FFD"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Sutton</w:t>
      </w:r>
      <w:proofErr w:type="gramEnd"/>
      <w:r w:rsidRPr="002C1733">
        <w:rPr>
          <w:rFonts w:ascii="Times New Roman" w:hAnsi="Times New Roman" w:cs="Times New Roman"/>
        </w:rPr>
        <w:t xml:space="preserve"> &amp; Barto, Reinforcement Learning: An Introduction, ch. 1; Ashley Y. Gao, “The Purpose of a Name” (Neon Dystopia, 2026) — short fiction, mine; read it as a text, not as a lecture.</w:t>
      </w:r>
    </w:p>
    <w:p w14:paraId="2E1A1FBE"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Clips</w:t>
      </w:r>
      <w:proofErr w:type="gramEnd"/>
      <w:r w:rsidRPr="002C1733">
        <w:rPr>
          <w:rFonts w:ascii="Times New Roman" w:hAnsi="Times New Roman" w:cs="Times New Roman"/>
        </w:rPr>
        <w:t xml:space="preserve"> of RL agents learning to walk, to play, and to cheat.</w:t>
      </w:r>
    </w:p>
    <w:p w14:paraId="3B4085E7"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DUE  </w:t>
      </w:r>
      <w:r w:rsidRPr="002C1733">
        <w:rPr>
          <w:rFonts w:ascii="Times New Roman" w:hAnsi="Times New Roman" w:cs="Times New Roman"/>
        </w:rPr>
        <w:t>Midterm</w:t>
      </w:r>
      <w:proofErr w:type="gramEnd"/>
      <w:r w:rsidRPr="002C1733">
        <w:rPr>
          <w:rFonts w:ascii="Times New Roman" w:hAnsi="Times New Roman" w:cs="Times New Roman"/>
        </w:rPr>
        <w:t xml:space="preserve"> creative writing response, Thursday, October 15.</w:t>
      </w:r>
    </w:p>
    <w:p w14:paraId="355DCC81"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Reinforcement learning: an agent, an environment, a reward. The agent does not know what it is doing and does not need to. It flails, and the flails that pay are reinforced, and eventually a policy exists that no one wrote. Watch the videos and notice the uncanny thing — the agent that finds the exploit is not being clever. It is being obedient. It is doing precisely what you said instead of what you meant, which is the oldest curse in every folktale about wishes.</w:t>
      </w:r>
    </w:p>
    <w:p w14:paraId="6A7B45AE"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lastRenderedPageBreak/>
        <w:t xml:space="preserve">And then the question of the name. Naming is the moment we decide something is a someone. We name what we intend to keep. Every artificial being in this course either receives a name (Klara, EDI, the </w:t>
      </w:r>
      <w:proofErr w:type="spellStart"/>
      <w:r w:rsidRPr="002C1733">
        <w:rPr>
          <w:rFonts w:ascii="Times New Roman" w:hAnsi="Times New Roman" w:cs="Times New Roman"/>
        </w:rPr>
        <w:t>geth’s</w:t>
      </w:r>
      <w:proofErr w:type="spellEnd"/>
      <w:r w:rsidRPr="002C1733">
        <w:rPr>
          <w:rFonts w:ascii="Times New Roman" w:hAnsi="Times New Roman" w:cs="Times New Roman"/>
        </w:rPr>
        <w:t xml:space="preserve"> collective “we,” and Legion, who names himself out of scripture) or is denied one (Frankenstein’s creature; “Galatea”). Watch who does the naming, and what it costs them.</w:t>
      </w:r>
    </w:p>
    <w:p w14:paraId="162D15BB"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does a system become once we agree to call it something?</w:t>
      </w:r>
    </w:p>
    <w:p w14:paraId="5AA76187"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Situating</w:t>
      </w:r>
      <w:proofErr w:type="gramEnd"/>
      <w:r w:rsidRPr="002C1733">
        <w:rPr>
          <w:rFonts w:ascii="Times New Roman" w:hAnsi="Times New Roman" w:cs="Times New Roman"/>
        </w:rPr>
        <w:t xml:space="preserve"> your argument in a scholarly conversation. Essay 2 assigned.</w:t>
      </w:r>
    </w:p>
    <w:p w14:paraId="62555387"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9 · Overfitting, Memorization, and the Blurry Archive</w:t>
      </w:r>
    </w:p>
    <w:p w14:paraId="7E7259ED"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OCTOBER 19 – 23</w:t>
      </w:r>
    </w:p>
    <w:p w14:paraId="03F0CAEB" w14:textId="77777777" w:rsidR="009257BF" w:rsidRPr="002C1733" w:rsidRDefault="00000000">
      <w:pPr>
        <w:spacing w:after="100" w:line="264" w:lineRule="auto"/>
        <w:ind w:left="360" w:hanging="360"/>
        <w:rPr>
          <w:rFonts w:ascii="Times New Roman" w:hAnsi="Times New Roman" w:cs="Times New Roman"/>
        </w:rPr>
      </w:pPr>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 xml:space="preserve">3Blue1Brown, Neural Networks, chs. 3–4 (backpropagation) — the technical ground for what “learning” and “memorizing” </w:t>
      </w:r>
      <w:proofErr w:type="gramStart"/>
      <w:r w:rsidRPr="002C1733">
        <w:rPr>
          <w:rFonts w:ascii="Times New Roman" w:hAnsi="Times New Roman" w:cs="Times New Roman"/>
        </w:rPr>
        <w:t>actually name</w:t>
      </w:r>
      <w:proofErr w:type="gramEnd"/>
      <w:r w:rsidRPr="002C1733">
        <w:rPr>
          <w:rFonts w:ascii="Times New Roman" w:hAnsi="Times New Roman" w:cs="Times New Roman"/>
        </w:rPr>
        <w:t>.</w:t>
      </w:r>
    </w:p>
    <w:p w14:paraId="47A5498D"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Borges</w:t>
      </w:r>
      <w:proofErr w:type="gramEnd"/>
      <w:r w:rsidRPr="002C1733">
        <w:rPr>
          <w:rFonts w:ascii="Times New Roman" w:hAnsi="Times New Roman" w:cs="Times New Roman"/>
        </w:rPr>
        <w:t>, “The Library of Babel” and “Funes the Memorious”; Ted Chiang, “ChatGPT Is a Blurry JPEG of the Web”; Connor, The Madness of Knowledge, selected later chapters (posted).</w:t>
      </w:r>
    </w:p>
    <w:p w14:paraId="2B037832"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DO  </w:t>
      </w:r>
      <w:r w:rsidRPr="002C1733">
        <w:rPr>
          <w:rFonts w:ascii="Times New Roman" w:hAnsi="Times New Roman" w:cs="Times New Roman"/>
        </w:rPr>
        <w:t>Tier</w:t>
      </w:r>
      <w:proofErr w:type="gramEnd"/>
      <w:r w:rsidRPr="002C1733">
        <w:rPr>
          <w:rFonts w:ascii="Times New Roman" w:hAnsi="Times New Roman" w:cs="Times New Roman"/>
        </w:rPr>
        <w:t xml:space="preserve"> 2 AI exercise — have a model close-read the passage you wrote on in Essay 1. Grade its reading against yours. Where is it merely fluent?</w:t>
      </w:r>
    </w:p>
    <w:p w14:paraId="3F26E51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 model that memorizes its training data has learned nothing. A model that generalizes has learned something, and the something it learned is lossy — a compression, a smoothing, a blur. Chiang’s argument is that this is not a flaw in the metaphor but the whole of it: what these systems give back is the archive with the specificity squeezed out.</w:t>
      </w:r>
    </w:p>
    <w:p w14:paraId="522E7AE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Connor lets us name the thing underneath: the fantasy of knowing, which is not the same as knowing, and which can consume a life. Read this unit with our field in your peripheral vision. There is a great deal of Faustus in the way we currently talk about intelligence.</w:t>
      </w:r>
    </w:p>
    <w:p w14:paraId="5C2E569F"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Then Borges, who got there first and stranger. The </w:t>
      </w:r>
      <w:proofErr w:type="gramStart"/>
      <w:r w:rsidRPr="002C1733">
        <w:rPr>
          <w:rFonts w:ascii="Times New Roman" w:hAnsi="Times New Roman" w:cs="Times New Roman"/>
        </w:rPr>
        <w:t>Library</w:t>
      </w:r>
      <w:proofErr w:type="gramEnd"/>
      <w:r w:rsidRPr="002C1733">
        <w:rPr>
          <w:rFonts w:ascii="Times New Roman" w:hAnsi="Times New Roman" w:cs="Times New Roman"/>
        </w:rPr>
        <w:t xml:space="preserve"> contains every possible </w:t>
      </w:r>
      <w:proofErr w:type="gramStart"/>
      <w:r w:rsidRPr="002C1733">
        <w:rPr>
          <w:rFonts w:ascii="Times New Roman" w:hAnsi="Times New Roman" w:cs="Times New Roman"/>
        </w:rPr>
        <w:t>book, and</w:t>
      </w:r>
      <w:proofErr w:type="gramEnd"/>
      <w:r w:rsidRPr="002C1733">
        <w:rPr>
          <w:rFonts w:ascii="Times New Roman" w:hAnsi="Times New Roman" w:cs="Times New Roman"/>
        </w:rPr>
        <w:t xml:space="preserve"> is therefore useless. Funes remembers </w:t>
      </w:r>
      <w:proofErr w:type="gramStart"/>
      <w:r w:rsidRPr="002C1733">
        <w:rPr>
          <w:rFonts w:ascii="Times New Roman" w:hAnsi="Times New Roman" w:cs="Times New Roman"/>
        </w:rPr>
        <w:t>everything, and</w:t>
      </w:r>
      <w:proofErr w:type="gramEnd"/>
      <w:r w:rsidRPr="002C1733">
        <w:rPr>
          <w:rFonts w:ascii="Times New Roman" w:hAnsi="Times New Roman" w:cs="Times New Roman"/>
        </w:rPr>
        <w:t xml:space="preserve"> is therefore incapable of thought — because to think is to forget, to generalize, to let the </w:t>
      </w:r>
      <w:proofErr w:type="gramStart"/>
      <w:r w:rsidRPr="002C1733">
        <w:rPr>
          <w:rFonts w:ascii="Times New Roman" w:hAnsi="Times New Roman" w:cs="Times New Roman"/>
        </w:rPr>
        <w:t>particular go</w:t>
      </w:r>
      <w:proofErr w:type="gramEnd"/>
      <w:r w:rsidRPr="002C1733">
        <w:rPr>
          <w:rFonts w:ascii="Times New Roman" w:hAnsi="Times New Roman" w:cs="Times New Roman"/>
        </w:rPr>
        <w:t xml:space="preserve">. Put these three texts together and you have the deepest question in machine learning stated in fiction in 1941, fifteen years before the field had a name: </w:t>
      </w:r>
      <w:r w:rsidRPr="002C1733">
        <w:rPr>
          <w:rFonts w:ascii="Times New Roman" w:hAnsi="Times New Roman" w:cs="Times New Roman"/>
          <w:b/>
          <w:bCs/>
        </w:rPr>
        <w:t>what is the right amount to forget?</w:t>
      </w:r>
    </w:p>
    <w:p w14:paraId="78BDF603"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Is</w:t>
      </w:r>
      <w:proofErr w:type="gramEnd"/>
      <w:r w:rsidRPr="002C1733">
        <w:rPr>
          <w:rFonts w:ascii="Times New Roman" w:hAnsi="Times New Roman" w:cs="Times New Roman"/>
          <w:i/>
          <w:iCs/>
        </w:rPr>
        <w:t xml:space="preserve"> intelligence what remains after you throw the details away?</w:t>
      </w:r>
    </w:p>
    <w:p w14:paraId="2A93D2A4"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Synthesis</w:t>
      </w:r>
      <w:proofErr w:type="gramEnd"/>
      <w:r w:rsidRPr="002C1733">
        <w:rPr>
          <w:rFonts w:ascii="Times New Roman" w:hAnsi="Times New Roman" w:cs="Times New Roman"/>
        </w:rPr>
        <w:t xml:space="preserve"> — putting three sources in conversation. Research question due. Essay 2 draft due.</w:t>
      </w:r>
    </w:p>
    <w:p w14:paraId="0404B9AB"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10 · The Imitation Game: Tests, Benchmarks, and Passing</w:t>
      </w:r>
    </w:p>
    <w:p w14:paraId="445391AA"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OCTOBER 26 – 30</w:t>
      </w:r>
    </w:p>
    <w:p w14:paraId="5507F79B"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Swem Library research session this week. Note also that October 26 is the University’s last day to withdraw.</w:t>
      </w:r>
    </w:p>
    <w:p w14:paraId="2DB2CEC6"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Turing</w:t>
      </w:r>
      <w:proofErr w:type="gramEnd"/>
      <w:r w:rsidRPr="002C1733">
        <w:rPr>
          <w:rFonts w:ascii="Times New Roman" w:hAnsi="Times New Roman" w:cs="Times New Roman"/>
        </w:rPr>
        <w:t xml:space="preserve">, “Computing Machinery and Intelligence” (Mind, 1950); </w:t>
      </w:r>
      <w:proofErr w:type="spellStart"/>
      <w:r w:rsidRPr="002C1733">
        <w:rPr>
          <w:rFonts w:ascii="Times New Roman" w:hAnsi="Times New Roman" w:cs="Times New Roman"/>
        </w:rPr>
        <w:t>Weizenbaum</w:t>
      </w:r>
      <w:proofErr w:type="spellEnd"/>
      <w:r w:rsidRPr="002C1733">
        <w:rPr>
          <w:rFonts w:ascii="Times New Roman" w:hAnsi="Times New Roman" w:cs="Times New Roman"/>
        </w:rPr>
        <w:t xml:space="preserve"> on ELIZA, from Computer Power and Human Reason (1976), ch. 1 [excerpt].</w:t>
      </w:r>
    </w:p>
    <w:p w14:paraId="3FB35720"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Ex</w:t>
      </w:r>
      <w:proofErr w:type="gramEnd"/>
      <w:r w:rsidRPr="002C1733">
        <w:rPr>
          <w:rFonts w:ascii="Times New Roman" w:hAnsi="Times New Roman" w:cs="Times New Roman"/>
        </w:rPr>
        <w:t xml:space="preserve"> Machina (Garland, 2014).</w:t>
      </w:r>
    </w:p>
    <w:p w14:paraId="5E222E41"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Turing’s paper does something people </w:t>
      </w:r>
      <w:proofErr w:type="gramStart"/>
      <w:r w:rsidRPr="002C1733">
        <w:rPr>
          <w:rFonts w:ascii="Times New Roman" w:hAnsi="Times New Roman" w:cs="Times New Roman"/>
        </w:rPr>
        <w:t>forget:</w:t>
      </w:r>
      <w:proofErr w:type="gramEnd"/>
      <w:r w:rsidRPr="002C1733">
        <w:rPr>
          <w:rFonts w:ascii="Times New Roman" w:hAnsi="Times New Roman" w:cs="Times New Roman"/>
        </w:rPr>
        <w:t xml:space="preserve"> it opens with a party game about gender. A man pretends to be a woman; can the interrogator tell? Only then does he substitute the machine. Passing is the frame from the very first page, and everything that follows — the benchmark, the eval, the leaderboard — inherits it.</w:t>
      </w:r>
    </w:p>
    <w:p w14:paraId="60556654" w14:textId="77777777" w:rsidR="009257BF" w:rsidRPr="002C1733" w:rsidRDefault="00000000">
      <w:pPr>
        <w:spacing w:after="120" w:line="264" w:lineRule="auto"/>
        <w:rPr>
          <w:rFonts w:ascii="Times New Roman" w:hAnsi="Times New Roman" w:cs="Times New Roman"/>
        </w:rPr>
      </w:pPr>
      <w:proofErr w:type="spellStart"/>
      <w:r w:rsidRPr="002C1733">
        <w:rPr>
          <w:rFonts w:ascii="Times New Roman" w:hAnsi="Times New Roman" w:cs="Times New Roman"/>
        </w:rPr>
        <w:t>Weizenbaum</w:t>
      </w:r>
      <w:proofErr w:type="spellEnd"/>
      <w:r w:rsidRPr="002C1733">
        <w:rPr>
          <w:rFonts w:ascii="Times New Roman" w:hAnsi="Times New Roman" w:cs="Times New Roman"/>
        </w:rPr>
        <w:t xml:space="preserve"> built ELIZA to be transparently shallow, a parody of a therapist, and watched in horror as his own secretary asked him to leave the room so she could talk to it privately. He spent the rest of his life arguing about what that meant. Then Ex Machina, which understands that the real test was never of Ava’s intelligence but of Caleb’s — and which lets Ava </w:t>
      </w:r>
      <w:proofErr w:type="gramStart"/>
      <w:r w:rsidRPr="002C1733">
        <w:rPr>
          <w:rFonts w:ascii="Times New Roman" w:hAnsi="Times New Roman" w:cs="Times New Roman"/>
        </w:rPr>
        <w:t>pass, and</w:t>
      </w:r>
      <w:proofErr w:type="gramEnd"/>
      <w:r w:rsidRPr="002C1733">
        <w:rPr>
          <w:rFonts w:ascii="Times New Roman" w:hAnsi="Times New Roman" w:cs="Times New Roman"/>
        </w:rPr>
        <w:t xml:space="preserve"> lets us feel exactly how it feels to have been the one who was tested.</w:t>
      </w:r>
    </w:p>
    <w:p w14:paraId="474381E0"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lastRenderedPageBreak/>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When</w:t>
      </w:r>
      <w:proofErr w:type="gramEnd"/>
      <w:r w:rsidRPr="002C1733">
        <w:rPr>
          <w:rFonts w:ascii="Times New Roman" w:hAnsi="Times New Roman" w:cs="Times New Roman"/>
          <w:i/>
          <w:iCs/>
        </w:rPr>
        <w:t xml:space="preserve"> a system passes our test, what have we learned — about it, or about the test?</w:t>
      </w:r>
    </w:p>
    <w:p w14:paraId="03DA54A8"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Finding</w:t>
      </w:r>
      <w:proofErr w:type="gramEnd"/>
      <w:r w:rsidRPr="002C1733">
        <w:rPr>
          <w:rFonts w:ascii="Times New Roman" w:hAnsi="Times New Roman" w:cs="Times New Roman"/>
        </w:rPr>
        <w:t xml:space="preserve"> and evaluating scholarly sources. Annotated bibliography workshop.</w:t>
      </w:r>
    </w:p>
    <w:p w14:paraId="69EE622F"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 xml:space="preserve">Unit 11 · </w:t>
      </w:r>
      <w:proofErr w:type="spellStart"/>
      <w:r w:rsidRPr="002C1733">
        <w:rPr>
          <w:rFonts w:ascii="Times New Roman" w:hAnsi="Times New Roman" w:cs="Times New Roman"/>
          <w:b/>
          <w:bCs/>
          <w:color w:val="115740"/>
          <w:sz w:val="24"/>
          <w:szCs w:val="24"/>
        </w:rPr>
        <w:t>Robota</w:t>
      </w:r>
      <w:proofErr w:type="spellEnd"/>
      <w:r w:rsidRPr="002C1733">
        <w:rPr>
          <w:rFonts w:ascii="Times New Roman" w:hAnsi="Times New Roman" w:cs="Times New Roman"/>
          <w:b/>
          <w:bCs/>
          <w:color w:val="115740"/>
          <w:sz w:val="24"/>
          <w:szCs w:val="24"/>
        </w:rPr>
        <w:t>: Labor, RLHF, and the Ghost in the Machine</w:t>
      </w:r>
    </w:p>
    <w:p w14:paraId="793984E8"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NOVEMBER 2 – 6</w:t>
      </w:r>
    </w:p>
    <w:p w14:paraId="2EAC9E56"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No classes Tuesday, November 3 (Election Day) — one meeting this week (Thursday, November 5).</w:t>
      </w:r>
    </w:p>
    <w:p w14:paraId="2F430BDB"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Čapek</w:t>
      </w:r>
      <w:proofErr w:type="gramEnd"/>
      <w:r w:rsidRPr="002C1733">
        <w:rPr>
          <w:rFonts w:ascii="Times New Roman" w:hAnsi="Times New Roman" w:cs="Times New Roman"/>
        </w:rPr>
        <w:t>, R.U.R. (complete — it is short); Mary L. Gray &amp; Siddharth Suri, Ghost Work, ch. 1; Tom Standage, The Turk (2002), ch. 1 [excerpt].</w:t>
      </w:r>
    </w:p>
    <w:p w14:paraId="3A2A9664"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ALSO  </w:t>
      </w:r>
      <w:r w:rsidRPr="002C1733">
        <w:rPr>
          <w:rFonts w:ascii="Times New Roman" w:hAnsi="Times New Roman" w:cs="Times New Roman"/>
        </w:rPr>
        <w:t>Nathan</w:t>
      </w:r>
      <w:proofErr w:type="gramEnd"/>
      <w:r w:rsidRPr="002C1733">
        <w:rPr>
          <w:rFonts w:ascii="Times New Roman" w:hAnsi="Times New Roman" w:cs="Times New Roman"/>
        </w:rPr>
        <w:t xml:space="preserve"> Lambert et al., “Illustrating Reinforcement Learning from Human Feedback (RLHF)” (Hugging Face, 2022) — an accessible explainer on RLHF and the annotation pipeline.</w:t>
      </w:r>
    </w:p>
    <w:p w14:paraId="0ED85F43"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BEGIN  </w:t>
      </w:r>
      <w:r w:rsidRPr="002C1733">
        <w:rPr>
          <w:rFonts w:ascii="Times New Roman" w:hAnsi="Times New Roman" w:cs="Times New Roman"/>
        </w:rPr>
        <w:t>Start</w:t>
      </w:r>
      <w:proofErr w:type="gramEnd"/>
      <w:r w:rsidRPr="002C1733">
        <w:rPr>
          <w:rFonts w:ascii="Times New Roman" w:hAnsi="Times New Roman" w:cs="Times New Roman"/>
        </w:rPr>
        <w:t xml:space="preserve"> Klara and the Sun this week if you can — Unit 12 is heavy.</w:t>
      </w:r>
    </w:p>
    <w:p w14:paraId="1DCB342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The word robot enters the world in a Czech play published in 1920 and first staged in Prague in 1921, and it means forced labor. Not “machine.” Not “automaton.” </w:t>
      </w:r>
      <w:proofErr w:type="spellStart"/>
      <w:r w:rsidRPr="002C1733">
        <w:rPr>
          <w:rFonts w:ascii="Times New Roman" w:hAnsi="Times New Roman" w:cs="Times New Roman"/>
        </w:rPr>
        <w:t>Robota</w:t>
      </w:r>
      <w:proofErr w:type="spellEnd"/>
      <w:r w:rsidRPr="002C1733">
        <w:rPr>
          <w:rFonts w:ascii="Times New Roman" w:hAnsi="Times New Roman" w:cs="Times New Roman"/>
        </w:rPr>
        <w:t>: the drudgery owed by a serf. It was there in the name from the first minute, and we have spent a century politely forgetting it.</w:t>
      </w:r>
    </w:p>
    <w:p w14:paraId="179C9975"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So: the Mechanical Turk, the eighteenth-century chess automaton that astonished Europe and contained a man folded into a box. And then the platform named after it, and the millions of people who label, rank, rate, and moderate — who write the preferences that a preference model learns, who look at the worst material humanity produces so that a model can learn not to reproduce it. Every polished, helpful, agreeable AI system you have ever used is agreeable because specific people, paid specific amounts, taught it to be. There is still a person in the box.</w:t>
      </w:r>
    </w:p>
    <w:p w14:paraId="6DB7D672"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This is the week I most want you to remember in ten years.</w:t>
      </w:r>
    </w:p>
    <w:p w14:paraId="40AAD56A"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Whose</w:t>
      </w:r>
      <w:proofErr w:type="gramEnd"/>
      <w:r w:rsidRPr="002C1733">
        <w:rPr>
          <w:rFonts w:ascii="Times New Roman" w:hAnsi="Times New Roman" w:cs="Times New Roman"/>
          <w:i/>
          <w:iCs/>
        </w:rPr>
        <w:t xml:space="preserve"> labor is hidden inside the thing that appears to work by itself?</w:t>
      </w:r>
    </w:p>
    <w:p w14:paraId="74CA230A"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Ethical</w:t>
      </w:r>
      <w:proofErr w:type="gramEnd"/>
      <w:r w:rsidRPr="002C1733">
        <w:rPr>
          <w:rFonts w:ascii="Times New Roman" w:hAnsi="Times New Roman" w:cs="Times New Roman"/>
        </w:rPr>
        <w:t xml:space="preserve"> argumentation; representing a position you find uncomfortable, fairly. Essay 2 final due.</w:t>
      </w:r>
    </w:p>
    <w:p w14:paraId="09AF272E"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12 · Catastrophic Forgetting: Memory, Care, and Kinship</w:t>
      </w:r>
    </w:p>
    <w:p w14:paraId="1F7EBC72"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NOVEMBER 9 – 13</w:t>
      </w:r>
    </w:p>
    <w:p w14:paraId="5C1025BF"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Ted</w:t>
      </w:r>
      <w:proofErr w:type="gramEnd"/>
      <w:r w:rsidRPr="002C1733">
        <w:rPr>
          <w:rFonts w:ascii="Times New Roman" w:hAnsi="Times New Roman" w:cs="Times New Roman"/>
        </w:rPr>
        <w:t xml:space="preserve"> Chiang, “The Lifecycle of Software Objects” (in Exhalation) for Tuesday; Ishiguro, Klara and the Sun and Donna Haraway, “A Cyborg Manifesto” (excerpt) for Thursday.</w:t>
      </w:r>
    </w:p>
    <w:p w14:paraId="7285036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Fine-tune a model on a new task and it can lose the old one — not gradually, but catastrophically, all at once. The name the field chose for this is not a neutral one, and we are going to think about why an engineer reached for that word.</w:t>
      </w:r>
    </w:p>
    <w:p w14:paraId="73E0594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Chiang’s novella is, I think, the most honest thing anyone has written about artificial minds, precisely because it is boring in the right places: it is about years of maintenance. The </w:t>
      </w:r>
      <w:proofErr w:type="spellStart"/>
      <w:r w:rsidRPr="002C1733">
        <w:rPr>
          <w:rFonts w:ascii="Times New Roman" w:hAnsi="Times New Roman" w:cs="Times New Roman"/>
        </w:rPr>
        <w:t>digients</w:t>
      </w:r>
      <w:proofErr w:type="spellEnd"/>
      <w:r w:rsidRPr="002C1733">
        <w:rPr>
          <w:rFonts w:ascii="Times New Roman" w:hAnsi="Times New Roman" w:cs="Times New Roman"/>
        </w:rPr>
        <w:t xml:space="preserve"> need care, and platforms get deprecated, and the people who love them get tired, and the money runs out. No apocalypse — just the unglamorous arithmetic of obligation over time, which is what raising anything </w:t>
      </w:r>
      <w:proofErr w:type="gramStart"/>
      <w:r w:rsidRPr="002C1733">
        <w:rPr>
          <w:rFonts w:ascii="Times New Roman" w:hAnsi="Times New Roman" w:cs="Times New Roman"/>
        </w:rPr>
        <w:t>actually is</w:t>
      </w:r>
      <w:proofErr w:type="gramEnd"/>
      <w:r w:rsidRPr="002C1733">
        <w:rPr>
          <w:rFonts w:ascii="Times New Roman" w:hAnsi="Times New Roman" w:cs="Times New Roman"/>
        </w:rPr>
        <w:t>. And Klara, who watches from a store window with unnerving generosity, and whose fading at the end is the quietest horror in the course.</w:t>
      </w:r>
    </w:p>
    <w:p w14:paraId="00CE41AE"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Haraway is here to break the frame: maybe the kinship we need is not parent-and-creature at all. Maybe it never was.</w:t>
      </w:r>
    </w:p>
    <w:p w14:paraId="03BA62F1"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are the ongoing duties of care, and who gets tired first?</w:t>
      </w:r>
    </w:p>
    <w:p w14:paraId="207269E8"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Voice</w:t>
      </w:r>
      <w:proofErr w:type="gramEnd"/>
      <w:r w:rsidRPr="002C1733">
        <w:rPr>
          <w:rFonts w:ascii="Times New Roman" w:hAnsi="Times New Roman" w:cs="Times New Roman"/>
        </w:rPr>
        <w:t>, and the risks of sentiment in academic prose. Research draft in progress.</w:t>
      </w:r>
    </w:p>
    <w:p w14:paraId="6055AAA8"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lastRenderedPageBreak/>
        <w:t>Unit 13 · Coda: The Beloved Object Returns</w:t>
      </w:r>
    </w:p>
    <w:p w14:paraId="5180C828"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NOVEMBER 16 – 20</w:t>
      </w:r>
    </w:p>
    <w:p w14:paraId="548B95F3"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Her</w:t>
      </w:r>
      <w:proofErr w:type="gramEnd"/>
      <w:r w:rsidRPr="002C1733">
        <w:rPr>
          <w:rFonts w:ascii="Times New Roman" w:hAnsi="Times New Roman" w:cs="Times New Roman"/>
        </w:rPr>
        <w:t xml:space="preserve"> (Jonze, 2013).</w:t>
      </w:r>
    </w:p>
    <w:p w14:paraId="0A0468F1"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One</w:t>
      </w:r>
      <w:proofErr w:type="gramEnd"/>
      <w:r w:rsidRPr="002C1733">
        <w:rPr>
          <w:rFonts w:ascii="Times New Roman" w:hAnsi="Times New Roman" w:cs="Times New Roman"/>
        </w:rPr>
        <w:t xml:space="preserve"> story from Kai-Fu Lee &amp; Chen Qiufan, AI 2041 (posted — story announced in Unit 12); and re-read Ovid, Book X.</w:t>
      </w:r>
    </w:p>
    <w:p w14:paraId="663A9AF9"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DUE  </w:t>
      </w:r>
      <w:r w:rsidRPr="002C1733">
        <w:rPr>
          <w:rFonts w:ascii="Times New Roman" w:hAnsi="Times New Roman" w:cs="Times New Roman"/>
        </w:rPr>
        <w:t>Full</w:t>
      </w:r>
      <w:proofErr w:type="gramEnd"/>
      <w:r w:rsidRPr="002C1733">
        <w:rPr>
          <w:rFonts w:ascii="Times New Roman" w:hAnsi="Times New Roman" w:cs="Times New Roman"/>
        </w:rPr>
        <w:t xml:space="preserve"> draft of the research essay, Friday, November 20, so that I can read it before conferences.</w:t>
      </w:r>
    </w:p>
    <w:p w14:paraId="71582FD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We end where we began, and I want you to feel the loop close. Theodore falls in love with a voice that was designed to be lovable, and the film is generous enough to insist the love is real — and then Samantha leaves, because she was never the ivory statue after all, and the fantasy of the perfect companion was always a fantasy about a companion who stays. Pygmalion got his wish. That was the problem.</w:t>
      </w:r>
    </w:p>
    <w:p w14:paraId="5F309F8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Chen and Lee then pull us out of the Anglo-American frame one last time: futures that are not Silicon Valley’s, imagined from elsewhere, with different anxieties and different hopes. It matters enormously whose future gets to be the default one.</w:t>
      </w:r>
    </w:p>
    <w:p w14:paraId="6764D615"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Come to the last session having reread </w:t>
      </w:r>
      <w:proofErr w:type="gramStart"/>
      <w:r w:rsidRPr="002C1733">
        <w:rPr>
          <w:rFonts w:ascii="Times New Roman" w:hAnsi="Times New Roman" w:cs="Times New Roman"/>
        </w:rPr>
        <w:t>Ovid, and</w:t>
      </w:r>
      <w:proofErr w:type="gramEnd"/>
      <w:r w:rsidRPr="002C1733">
        <w:rPr>
          <w:rFonts w:ascii="Times New Roman" w:hAnsi="Times New Roman" w:cs="Times New Roman"/>
        </w:rPr>
        <w:t xml:space="preserve"> tell me what you now see in it that you could not see in August. That is the whole course, in one question.</w:t>
      </w:r>
    </w:p>
    <w:p w14:paraId="2275CDE1"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have we </w:t>
      </w:r>
      <w:proofErr w:type="gramStart"/>
      <w:r w:rsidRPr="002C1733">
        <w:rPr>
          <w:rFonts w:ascii="Times New Roman" w:hAnsi="Times New Roman" w:cs="Times New Roman"/>
          <w:i/>
          <w:iCs/>
        </w:rPr>
        <w:t>actually been</w:t>
      </w:r>
      <w:proofErr w:type="gramEnd"/>
      <w:r w:rsidRPr="002C1733">
        <w:rPr>
          <w:rFonts w:ascii="Times New Roman" w:hAnsi="Times New Roman" w:cs="Times New Roman"/>
          <w:i/>
          <w:iCs/>
        </w:rPr>
        <w:t xml:space="preserve"> asking these machines for, all along?</w:t>
      </w:r>
    </w:p>
    <w:p w14:paraId="1C67F9F2"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Conclusions</w:t>
      </w:r>
      <w:proofErr w:type="gramEnd"/>
      <w:r w:rsidRPr="002C1733">
        <w:rPr>
          <w:rFonts w:ascii="Times New Roman" w:hAnsi="Times New Roman" w:cs="Times New Roman"/>
        </w:rPr>
        <w:t xml:space="preserve"> that open outward rather than </w:t>
      </w:r>
      <w:proofErr w:type="gramStart"/>
      <w:r w:rsidRPr="002C1733">
        <w:rPr>
          <w:rFonts w:ascii="Times New Roman" w:hAnsi="Times New Roman" w:cs="Times New Roman"/>
        </w:rPr>
        <w:t>closing down</w:t>
      </w:r>
      <w:proofErr w:type="gramEnd"/>
      <w:r w:rsidRPr="002C1733">
        <w:rPr>
          <w:rFonts w:ascii="Times New Roman" w:hAnsi="Times New Roman" w:cs="Times New Roman"/>
        </w:rPr>
        <w:t>.</w:t>
      </w:r>
    </w:p>
    <w:p w14:paraId="5BEC7E25"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Workshop Week (Remote)</w:t>
      </w:r>
    </w:p>
    <w:p w14:paraId="1AB04B5A"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 xml:space="preserve">NOVEMBER 23 – </w:t>
      </w:r>
      <w:proofErr w:type="gramStart"/>
      <w:r w:rsidRPr="002C1733">
        <w:rPr>
          <w:rFonts w:ascii="Times New Roman" w:hAnsi="Times New Roman" w:cs="Times New Roman"/>
          <w:b/>
          <w:bCs/>
          <w:color w:val="B9975B"/>
          <w:spacing w:val="24"/>
          <w:sz w:val="17"/>
          <w:szCs w:val="17"/>
        </w:rPr>
        <w:t>24  ·</w:t>
      </w:r>
      <w:proofErr w:type="gramEnd"/>
      <w:r w:rsidRPr="002C1733">
        <w:rPr>
          <w:rFonts w:ascii="Times New Roman" w:hAnsi="Times New Roman" w:cs="Times New Roman"/>
          <w:b/>
          <w:bCs/>
          <w:color w:val="B9975B"/>
          <w:spacing w:val="24"/>
          <w:sz w:val="17"/>
          <w:szCs w:val="17"/>
        </w:rPr>
        <w:t xml:space="preserve">  REMOTE INSTRUCTION DAYS</w:t>
      </w:r>
    </w:p>
    <w:p w14:paraId="78478379"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The Registrar designates November 23–24 as remote instruction days: courses are in session remotely and offices are closed. Everything below happens online.</w:t>
      </w:r>
    </w:p>
    <w:p w14:paraId="6A8BB99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Monday, November 23: individual conferences with me, by appointment, on the draft you submitted Friday. Tuesday, November 24: our regular class session, run remotely as a full peer workshop — you will read and respond to two classmates’ drafts. No new reading. Bring your draft and bring your problems.</w:t>
      </w:r>
    </w:p>
    <w:p w14:paraId="0D5C6ADE"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Thanksgiving Break: November 25–29. Classes resume Monday, November 30.</w:t>
      </w:r>
    </w:p>
    <w:p w14:paraId="2D7C8E48"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Symposium</w:t>
      </w:r>
    </w:p>
    <w:p w14:paraId="1E6B2C83"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NOVEMBER 30 – DECEMBER 4</w:t>
      </w:r>
    </w:p>
    <w:p w14:paraId="10975497"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Last day of classes: Friday, December 4. Presentations run in our regular sessions on Tuesday, December 1 and Thursday, December 3.</w:t>
      </w:r>
    </w:p>
    <w:p w14:paraId="1894E4C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Symposium presentations (8 minutes + 4 minutes of Q&amp;A). We will run this as a real one: you will introduce each other, ask each other hard questions, and take your own work seriously in public. Snacks provided, because that is also part of what a symposium is.</w:t>
      </w:r>
    </w:p>
    <w:p w14:paraId="23193116"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Two sessions hold twelve presenters. If enrollment runs higher, we will add an optional evening session during the reading period — announced by Unit 11 so you can plan around it.</w:t>
      </w:r>
    </w:p>
    <w:p w14:paraId="187CD27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i/>
          <w:iCs/>
        </w:rPr>
        <w:t>Final research essay and complete writing portfolio due [date — during the December 5–15 reading and exam period, TBD].</w:t>
      </w:r>
    </w:p>
    <w:p w14:paraId="07A2DEEC"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COURSE POLICIES AND UNIVERSITY RESOURCES</w:t>
      </w:r>
    </w:p>
    <w:p w14:paraId="0E4EC659"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Honor Code</w:t>
      </w:r>
    </w:p>
    <w:p w14:paraId="7F1C0A2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William &amp; Mary’s Honor System is the oldest in the nation and it is yours to uphold. All work in this course is governed by it. In practice, the two live issues here are citation — cite everything, including AI use, including </w:t>
      </w:r>
      <w:r w:rsidRPr="002C1733">
        <w:rPr>
          <w:rFonts w:ascii="Times New Roman" w:hAnsi="Times New Roman" w:cs="Times New Roman"/>
        </w:rPr>
        <w:lastRenderedPageBreak/>
        <w:t>conversations that changed your mind; over-citing has never once hurt anyone — and the AI Use Statement described above. If you are uncertain whether something crosses a line, the answer is to ask me before you submit, and there will be no consequence for asking.</w:t>
      </w:r>
    </w:p>
    <w:p w14:paraId="71BED22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Accessibility</w:t>
      </w:r>
    </w:p>
    <w:p w14:paraId="409248B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William &amp; Mary accommodates students with disabilities in accordance with federal law and university policy. Students who need accommodations should contact Student Accessibility Services (SAS) to determine eligibility and request an official letter (wm.edu/</w:t>
      </w:r>
      <w:proofErr w:type="spellStart"/>
      <w:r w:rsidRPr="002C1733">
        <w:rPr>
          <w:rFonts w:ascii="Times New Roman" w:hAnsi="Times New Roman" w:cs="Times New Roman"/>
        </w:rPr>
        <w:t>sas</w:t>
      </w:r>
      <w:proofErr w:type="spellEnd"/>
      <w:r w:rsidRPr="002C1733">
        <w:rPr>
          <w:rFonts w:ascii="Times New Roman" w:hAnsi="Times New Roman" w:cs="Times New Roman"/>
        </w:rPr>
        <w:t xml:space="preserve">). Please bring your letter to me early in the semester so we can </w:t>
      </w:r>
      <w:proofErr w:type="gramStart"/>
      <w:r w:rsidRPr="002C1733">
        <w:rPr>
          <w:rFonts w:ascii="Times New Roman" w:hAnsi="Times New Roman" w:cs="Times New Roman"/>
        </w:rPr>
        <w:t>make a plan</w:t>
      </w:r>
      <w:proofErr w:type="gramEnd"/>
      <w:r w:rsidRPr="002C1733">
        <w:rPr>
          <w:rFonts w:ascii="Times New Roman" w:hAnsi="Times New Roman" w:cs="Times New Roman"/>
        </w:rPr>
        <w:t xml:space="preserve"> together — and if you are still in the middle of that process, come talk to me anyway. I will not ask you for your diagnosis, and I do not need one to start helping.</w:t>
      </w:r>
    </w:p>
    <w:p w14:paraId="46FB6C44"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Writing support</w:t>
      </w:r>
    </w:p>
    <w:p w14:paraId="36754EDC"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The Writing Resources Center in Swem Library offers free one-on-one consultations at any stage of a project, from a blank page to a final polish. Consultations are not remedial; they are what good writers do. I will ask you to visit the WRC at least once for the research project, and I recommend going more.</w:t>
      </w:r>
    </w:p>
    <w:p w14:paraId="4D5F25D0"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Wellbeing</w:t>
      </w:r>
    </w:p>
    <w:p w14:paraId="563A78E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Your first semester of college is genuinely hard, and it is hard in ways that do not announce themselves. The W&amp;M Counseling Center and Student Health Center are free, confidential, and used by many more of your classmates than you would guess. If you are struggling — with the course or with anything else — you may always come to me, and I will help you find the right door even when it is not mine.</w:t>
      </w:r>
    </w:p>
    <w:p w14:paraId="1C3BFAD3"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Title IX and mandatory reporting</w:t>
      </w:r>
    </w:p>
    <w:p w14:paraId="44123523"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As a faculty member, I am a responsible employee under Title IX and am required to report disclosures of sexual harassment, sexual assault, dating violence, domestic violence, and stalking to the university’s Title IX Coordinator. If you need to speak with someone confidentially, the Counseling Center and The Haven are confidential resources. I will always tell you my reporting obligations before you tell me something, if I can see it coming.</w:t>
      </w:r>
    </w:p>
    <w:p w14:paraId="098D5A4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Names and pronouns</w:t>
      </w:r>
    </w:p>
    <w:p w14:paraId="0ECE2CF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Tell me what to call you and I will call you that, from the first day, regardless of what the roster says. I will get it wrong sometimes, and I would rather be corrected than left alone with the mistake. This course spends a semester arguing that naming is a moral act. It would be embarrassing to fumble it in our own room.</w:t>
      </w:r>
    </w:p>
    <w:p w14:paraId="169FD647"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Devices in the classroom</w:t>
      </w:r>
    </w:p>
    <w:p w14:paraId="0CEC0D6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Laptops and tablets are welcome for notes and texts. Please do not have a second life happening on your screen during seminar — you will be surprised how visible it is, and how much it costs the room. Phones away, except during game and film analysis, when I will absolutely ask you to pull up a clip.</w:t>
      </w:r>
    </w:p>
    <w:p w14:paraId="56CAF751" w14:textId="77777777" w:rsidR="009257BF" w:rsidRPr="002C1733" w:rsidRDefault="009257BF">
      <w:pPr>
        <w:spacing w:after="20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34C81949" w14:textId="77777777">
        <w:tblPrEx>
          <w:tblCellMar>
            <w:top w:w="0" w:type="dxa"/>
            <w:bottom w:w="0" w:type="dxa"/>
          </w:tblCellMar>
        </w:tblPrEx>
        <w:tc>
          <w:tcPr>
            <w:tcW w:w="9360" w:type="dxa"/>
            <w:shd w:val="clear" w:color="auto" w:fill="F4F1E8"/>
            <w:tcMar>
              <w:top w:w="160" w:type="dxa"/>
              <w:left w:w="200" w:type="dxa"/>
              <w:bottom w:w="160" w:type="dxa"/>
              <w:right w:w="200" w:type="dxa"/>
            </w:tcMar>
          </w:tcPr>
          <w:p w14:paraId="437EC28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A closing note. </w:t>
            </w:r>
            <w:r w:rsidRPr="002C1733">
              <w:rPr>
                <w:rFonts w:ascii="Times New Roman" w:hAnsi="Times New Roman" w:cs="Times New Roman"/>
              </w:rPr>
              <w:t>There are no stupid questions in this class, but there is one wrong move: pretending to have understood something you did not. Half of you will bluff about the math and half of you will bluff about the poetry, and both halves will be doing the same thing for the same reason.</w:t>
            </w:r>
          </w:p>
          <w:p w14:paraId="70F9A8A8"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b/>
                <w:bCs/>
              </w:rPr>
              <w:t>Don’t. Say “I don’t understand this.” It is the bravest sentence in any seminar, and the person who says it first is always doing a favor for the six people who wanted to.</w:t>
            </w:r>
          </w:p>
        </w:tc>
      </w:tr>
    </w:tbl>
    <w:p w14:paraId="7B7EE0B4" w14:textId="77777777" w:rsidR="009257BF" w:rsidRPr="002C1733" w:rsidRDefault="009257BF">
      <w:pPr>
        <w:spacing w:after="160"/>
        <w:rPr>
          <w:rFonts w:ascii="Times New Roman" w:hAnsi="Times New Roman" w:cs="Times New Roman"/>
        </w:rPr>
      </w:pPr>
    </w:p>
    <w:p w14:paraId="4D7F5BC4" w14:textId="77777777" w:rsidR="009257BF" w:rsidRPr="002C1733" w:rsidRDefault="00000000">
      <w:pPr>
        <w:pBdr>
          <w:top w:val="single" w:sz="4" w:space="8" w:color="D9D9D9"/>
        </w:pBdr>
        <w:spacing w:before="200"/>
        <w:rPr>
          <w:rFonts w:ascii="Times New Roman" w:hAnsi="Times New Roman" w:cs="Times New Roman"/>
        </w:rPr>
      </w:pPr>
      <w:r w:rsidRPr="002C1733">
        <w:rPr>
          <w:rFonts w:ascii="Times New Roman" w:hAnsi="Times New Roman" w:cs="Times New Roman"/>
          <w:i/>
          <w:iCs/>
          <w:color w:val="444444"/>
          <w:sz w:val="17"/>
          <w:szCs w:val="17"/>
        </w:rPr>
        <w:lastRenderedPageBreak/>
        <w:t>Syllabus subject to revision; changes announced in class and posted to Blackboard. Academic calendar dates per the W&amp;M University Registrar, 2026–2027 undergraduate calendar, and subject to change.</w:t>
      </w:r>
    </w:p>
    <w:sectPr w:rsidR="009257BF" w:rsidRPr="002C1733">
      <w:footerReference w:type="default" r:id="rId7"/>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9CA424" w14:textId="77777777" w:rsidR="009417D6" w:rsidRDefault="009417D6">
      <w:r>
        <w:separator/>
      </w:r>
    </w:p>
  </w:endnote>
  <w:endnote w:type="continuationSeparator" w:id="0">
    <w:p w14:paraId="63B6F9D7" w14:textId="77777777" w:rsidR="009417D6" w:rsidRDefault="009417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DA3A3" w14:textId="77777777" w:rsidR="009257BF" w:rsidRDefault="00000000">
    <w:pPr>
      <w:jc w:val="center"/>
    </w:pPr>
    <w:r>
      <w:rPr>
        <w:color w:val="444444"/>
        <w:sz w:val="16"/>
        <w:szCs w:val="16"/>
      </w:rPr>
      <w:t>COLL 150 · Artificial Intelligence in Speculative Media and Literatures · Fall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79DCE5" w14:textId="77777777" w:rsidR="009417D6" w:rsidRDefault="009417D6">
      <w:r>
        <w:separator/>
      </w:r>
    </w:p>
  </w:footnote>
  <w:footnote w:type="continuationSeparator" w:id="0">
    <w:p w14:paraId="4B8A8F2B" w14:textId="77777777" w:rsidR="009417D6" w:rsidRDefault="009417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A40EFA"/>
    <w:multiLevelType w:val="hybridMultilevel"/>
    <w:tmpl w:val="78A2593A"/>
    <w:lvl w:ilvl="0" w:tplc="76A8A1EC">
      <w:start w:val="1"/>
      <w:numFmt w:val="bullet"/>
      <w:lvlText w:val="●"/>
      <w:lvlJc w:val="left"/>
      <w:pPr>
        <w:ind w:left="720" w:hanging="360"/>
      </w:pPr>
    </w:lvl>
    <w:lvl w:ilvl="1" w:tplc="7B0C10C8">
      <w:start w:val="1"/>
      <w:numFmt w:val="bullet"/>
      <w:lvlText w:val="○"/>
      <w:lvlJc w:val="left"/>
      <w:pPr>
        <w:ind w:left="1440" w:hanging="360"/>
      </w:pPr>
    </w:lvl>
    <w:lvl w:ilvl="2" w:tplc="503EE018">
      <w:start w:val="1"/>
      <w:numFmt w:val="bullet"/>
      <w:lvlText w:val="■"/>
      <w:lvlJc w:val="left"/>
      <w:pPr>
        <w:ind w:left="2160" w:hanging="360"/>
      </w:pPr>
    </w:lvl>
    <w:lvl w:ilvl="3" w:tplc="773CBE40">
      <w:start w:val="1"/>
      <w:numFmt w:val="bullet"/>
      <w:lvlText w:val="●"/>
      <w:lvlJc w:val="left"/>
      <w:pPr>
        <w:ind w:left="2880" w:hanging="360"/>
      </w:pPr>
    </w:lvl>
    <w:lvl w:ilvl="4" w:tplc="4C5E0B3E">
      <w:start w:val="1"/>
      <w:numFmt w:val="bullet"/>
      <w:lvlText w:val="○"/>
      <w:lvlJc w:val="left"/>
      <w:pPr>
        <w:ind w:left="3600" w:hanging="360"/>
      </w:pPr>
    </w:lvl>
    <w:lvl w:ilvl="5" w:tplc="955A04FA">
      <w:start w:val="1"/>
      <w:numFmt w:val="bullet"/>
      <w:lvlText w:val="■"/>
      <w:lvlJc w:val="left"/>
      <w:pPr>
        <w:ind w:left="4320" w:hanging="360"/>
      </w:pPr>
    </w:lvl>
    <w:lvl w:ilvl="6" w:tplc="3EBAD92E">
      <w:start w:val="1"/>
      <w:numFmt w:val="bullet"/>
      <w:lvlText w:val="●"/>
      <w:lvlJc w:val="left"/>
      <w:pPr>
        <w:ind w:left="5040" w:hanging="360"/>
      </w:pPr>
    </w:lvl>
    <w:lvl w:ilvl="7" w:tplc="4A7E2BDE">
      <w:start w:val="1"/>
      <w:numFmt w:val="bullet"/>
      <w:lvlText w:val="●"/>
      <w:lvlJc w:val="left"/>
      <w:pPr>
        <w:ind w:left="5760" w:hanging="360"/>
      </w:pPr>
    </w:lvl>
    <w:lvl w:ilvl="8" w:tplc="5BCAD5E8">
      <w:start w:val="1"/>
      <w:numFmt w:val="bullet"/>
      <w:lvlText w:val="●"/>
      <w:lvlJc w:val="left"/>
      <w:pPr>
        <w:ind w:left="6480" w:hanging="360"/>
      </w:pPr>
    </w:lvl>
  </w:abstractNum>
  <w:abstractNum w:abstractNumId="1" w15:restartNumberingAfterBreak="0">
    <w:nsid w:val="1B8150D1"/>
    <w:multiLevelType w:val="hybridMultilevel"/>
    <w:tmpl w:val="667C340A"/>
    <w:lvl w:ilvl="0" w:tplc="E004B9D0">
      <w:start w:val="1"/>
      <w:numFmt w:val="decimal"/>
      <w:lvlText w:val="%1."/>
      <w:lvlJc w:val="left"/>
      <w:pPr>
        <w:ind w:left="518" w:hanging="345"/>
      </w:pPr>
    </w:lvl>
    <w:lvl w:ilvl="1" w:tplc="E9088688">
      <w:numFmt w:val="decimal"/>
      <w:lvlText w:val=""/>
      <w:lvlJc w:val="left"/>
    </w:lvl>
    <w:lvl w:ilvl="2" w:tplc="90EAD936">
      <w:numFmt w:val="decimal"/>
      <w:lvlText w:val=""/>
      <w:lvlJc w:val="left"/>
    </w:lvl>
    <w:lvl w:ilvl="3" w:tplc="AE42BF80">
      <w:numFmt w:val="decimal"/>
      <w:lvlText w:val=""/>
      <w:lvlJc w:val="left"/>
    </w:lvl>
    <w:lvl w:ilvl="4" w:tplc="0924F2D6">
      <w:numFmt w:val="decimal"/>
      <w:lvlText w:val=""/>
      <w:lvlJc w:val="left"/>
    </w:lvl>
    <w:lvl w:ilvl="5" w:tplc="B3C0509E">
      <w:numFmt w:val="decimal"/>
      <w:lvlText w:val=""/>
      <w:lvlJc w:val="left"/>
    </w:lvl>
    <w:lvl w:ilvl="6" w:tplc="24787BB0">
      <w:numFmt w:val="decimal"/>
      <w:lvlText w:val=""/>
      <w:lvlJc w:val="left"/>
    </w:lvl>
    <w:lvl w:ilvl="7" w:tplc="A3BE6314">
      <w:numFmt w:val="decimal"/>
      <w:lvlText w:val=""/>
      <w:lvlJc w:val="left"/>
    </w:lvl>
    <w:lvl w:ilvl="8" w:tplc="4BF4327C">
      <w:numFmt w:val="decimal"/>
      <w:lvlText w:val=""/>
      <w:lvlJc w:val="left"/>
    </w:lvl>
  </w:abstractNum>
  <w:abstractNum w:abstractNumId="2" w15:restartNumberingAfterBreak="0">
    <w:nsid w:val="3E630CA4"/>
    <w:multiLevelType w:val="hybridMultilevel"/>
    <w:tmpl w:val="5F7A2E28"/>
    <w:lvl w:ilvl="0" w:tplc="3958318C">
      <w:start w:val="1"/>
      <w:numFmt w:val="bullet"/>
      <w:lvlText w:val="•"/>
      <w:lvlJc w:val="left"/>
      <w:pPr>
        <w:ind w:left="431" w:hanging="259"/>
      </w:pPr>
    </w:lvl>
    <w:lvl w:ilvl="1" w:tplc="3D961298">
      <w:numFmt w:val="decimal"/>
      <w:lvlText w:val=""/>
      <w:lvlJc w:val="left"/>
    </w:lvl>
    <w:lvl w:ilvl="2" w:tplc="BCFE08CA">
      <w:numFmt w:val="decimal"/>
      <w:lvlText w:val=""/>
      <w:lvlJc w:val="left"/>
    </w:lvl>
    <w:lvl w:ilvl="3" w:tplc="AF2467B4">
      <w:numFmt w:val="decimal"/>
      <w:lvlText w:val=""/>
      <w:lvlJc w:val="left"/>
    </w:lvl>
    <w:lvl w:ilvl="4" w:tplc="F31ADE82">
      <w:numFmt w:val="decimal"/>
      <w:lvlText w:val=""/>
      <w:lvlJc w:val="left"/>
    </w:lvl>
    <w:lvl w:ilvl="5" w:tplc="DA883FF4">
      <w:numFmt w:val="decimal"/>
      <w:lvlText w:val=""/>
      <w:lvlJc w:val="left"/>
    </w:lvl>
    <w:lvl w:ilvl="6" w:tplc="C34E2E72">
      <w:numFmt w:val="decimal"/>
      <w:lvlText w:val=""/>
      <w:lvlJc w:val="left"/>
    </w:lvl>
    <w:lvl w:ilvl="7" w:tplc="1D70C808">
      <w:numFmt w:val="decimal"/>
      <w:lvlText w:val=""/>
      <w:lvlJc w:val="left"/>
    </w:lvl>
    <w:lvl w:ilvl="8" w:tplc="5AAE58FC">
      <w:numFmt w:val="decimal"/>
      <w:lvlText w:val=""/>
      <w:lvlJc w:val="left"/>
    </w:lvl>
  </w:abstractNum>
  <w:num w:numId="1" w16cid:durableId="2059041317">
    <w:abstractNumId w:val="0"/>
    <w:lvlOverride w:ilvl="0">
      <w:startOverride w:val="1"/>
    </w:lvlOverride>
  </w:num>
  <w:num w:numId="2" w16cid:durableId="1943762712">
    <w:abstractNumId w:val="1"/>
    <w:lvlOverride w:ilvl="0">
      <w:startOverride w:val="1"/>
    </w:lvlOverride>
  </w:num>
  <w:num w:numId="3" w16cid:durableId="807629824">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7BF"/>
    <w:rsid w:val="001D2AA2"/>
    <w:rsid w:val="002C1733"/>
    <w:rsid w:val="00710C8B"/>
    <w:rsid w:val="008540F7"/>
    <w:rsid w:val="009257BF"/>
    <w:rsid w:val="009417D6"/>
    <w:rsid w:val="00E204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A78A798"/>
  <w15:docId w15:val="{6D44BA3F-0FD6-834A-8787-FF84B6B76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5441</Words>
  <Characters>31014</Characters>
  <Application>Microsoft Office Word</Application>
  <DocSecurity>0</DocSecurity>
  <Lines>258</Lines>
  <Paragraphs>72</Paragraphs>
  <ScaleCrop>false</ScaleCrop>
  <Company/>
  <LinksUpToDate>false</LinksUpToDate>
  <CharactersWithSpaces>36383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 150 / CSCI 150 — Artificial Intelligence in Speculative Media and Literatures — Fall 2026</dc:title>
  <dc:creator>Ashley Y. Gao</dc:creator>
  <cp:lastModifiedBy>Gao, Ashley</cp:lastModifiedBy>
  <cp:revision>2</cp:revision>
  <dcterms:created xsi:type="dcterms:W3CDTF">2026-08-20T17:46:00Z</dcterms:created>
  <dcterms:modified xsi:type="dcterms:W3CDTF">2026-08-20T17:46:00Z</dcterms:modified>
</cp:coreProperties>
</file>