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823372" w14:textId="77777777" w:rsidR="009257BF" w:rsidRPr="002C1733" w:rsidRDefault="00000000">
      <w:pPr>
        <w:spacing w:after="60"/>
        <w:rPr>
          <w:rFonts w:ascii="Times New Roman" w:hAnsi="Times New Roman" w:cs="Times New Roman"/>
        </w:rPr>
      </w:pPr>
      <w:r w:rsidRPr="002C1733">
        <w:rPr>
          <w:rFonts w:ascii="Times New Roman" w:hAnsi="Times New Roman" w:cs="Times New Roman"/>
          <w:b/>
          <w:bCs/>
          <w:color w:val="B9975B"/>
          <w:spacing w:val="30"/>
          <w:sz w:val="17"/>
          <w:szCs w:val="17"/>
        </w:rPr>
        <w:t>WILLIAM &amp; MARY  ·  DEPARTMENT OF COMPUTER SCIENCE  ·  FALL 2026</w:t>
      </w:r>
    </w:p>
    <w:p w14:paraId="33FC55A9" w14:textId="77777777" w:rsidR="009257BF" w:rsidRPr="002C1733" w:rsidRDefault="00000000">
      <w:pPr>
        <w:spacing w:after="100"/>
        <w:rPr>
          <w:rFonts w:ascii="Times New Roman" w:hAnsi="Times New Roman" w:cs="Times New Roman"/>
        </w:rPr>
      </w:pPr>
      <w:r w:rsidRPr="002C1733">
        <w:rPr>
          <w:rFonts w:ascii="Times New Roman" w:hAnsi="Times New Roman" w:cs="Times New Roman"/>
          <w:b/>
          <w:bCs/>
          <w:color w:val="115740"/>
          <w:sz w:val="40"/>
          <w:szCs w:val="40"/>
        </w:rPr>
        <w:t>Artificial Intelligence in Speculative Media and Literatures</w:t>
      </w:r>
    </w:p>
    <w:p w14:paraId="726F058A" w14:textId="77777777" w:rsidR="009257BF" w:rsidRPr="002C1733" w:rsidRDefault="00000000">
      <w:pPr>
        <w:pBdr>
          <w:bottom w:val="single" w:sz="12" w:space="8" w:color="B9975B"/>
        </w:pBdr>
        <w:spacing w:after="240"/>
        <w:rPr>
          <w:rFonts w:ascii="Times New Roman" w:hAnsi="Times New Roman" w:cs="Times New Roman"/>
        </w:rPr>
      </w:pPr>
      <w:r w:rsidRPr="002C1733">
        <w:rPr>
          <w:rFonts w:ascii="Times New Roman" w:hAnsi="Times New Roman" w:cs="Times New Roman"/>
          <w:color w:val="444444"/>
        </w:rPr>
        <w:t>CSCI 150 / COLL 150  ·  First-Year Seminar  ·  4 credits</w:t>
      </w:r>
    </w:p>
    <w:p w14:paraId="28347479" w14:textId="77777777" w:rsidR="009257BF" w:rsidRPr="002C1733" w:rsidRDefault="00000000">
      <w:pPr>
        <w:tabs>
          <w:tab w:val="left" w:pos="1944"/>
        </w:tabs>
        <w:spacing w:after="70" w:line="252" w:lineRule="auto"/>
        <w:ind w:left="1944" w:hanging="1944"/>
        <w:rPr>
          <w:rFonts w:ascii="Times New Roman" w:hAnsi="Times New Roman" w:cs="Times New Roman"/>
        </w:rPr>
      </w:pPr>
      <w:r w:rsidRPr="002C1733">
        <w:rPr>
          <w:rFonts w:ascii="Times New Roman" w:hAnsi="Times New Roman" w:cs="Times New Roman"/>
          <w:b/>
          <w:bCs/>
          <w:color w:val="115740"/>
          <w:spacing w:val="16"/>
          <w:sz w:val="18"/>
          <w:szCs w:val="18"/>
        </w:rPr>
        <w:t>INSTRUCTOR</w:t>
      </w:r>
      <w:r w:rsidRPr="002C1733">
        <w:rPr>
          <w:rFonts w:ascii="Times New Roman" w:hAnsi="Times New Roman" w:cs="Times New Roman"/>
          <w:sz w:val="18"/>
          <w:szCs w:val="18"/>
        </w:rPr>
        <w:tab/>
      </w:r>
      <w:r w:rsidRPr="002C1733">
        <w:rPr>
          <w:rFonts w:ascii="Times New Roman" w:hAnsi="Times New Roman" w:cs="Times New Roman"/>
        </w:rPr>
        <w:t>Ashley Y. Gao, Department of Computer Science</w:t>
      </w:r>
    </w:p>
    <w:p w14:paraId="7F650AAA" w14:textId="77777777" w:rsidR="009257BF" w:rsidRPr="002C1733" w:rsidRDefault="00000000">
      <w:pPr>
        <w:tabs>
          <w:tab w:val="left" w:pos="1944"/>
        </w:tabs>
        <w:spacing w:after="70" w:line="252" w:lineRule="auto"/>
        <w:ind w:left="1944" w:hanging="1944"/>
        <w:rPr>
          <w:rFonts w:ascii="Times New Roman" w:hAnsi="Times New Roman" w:cs="Times New Roman"/>
        </w:rPr>
      </w:pPr>
      <w:r w:rsidRPr="002C1733">
        <w:rPr>
          <w:rFonts w:ascii="Times New Roman" w:hAnsi="Times New Roman" w:cs="Times New Roman"/>
          <w:b/>
          <w:bCs/>
          <w:color w:val="115740"/>
          <w:spacing w:val="16"/>
          <w:sz w:val="18"/>
          <w:szCs w:val="18"/>
        </w:rPr>
        <w:t>EMAIL</w:t>
      </w:r>
      <w:r w:rsidRPr="002C1733">
        <w:rPr>
          <w:rFonts w:ascii="Times New Roman" w:hAnsi="Times New Roman" w:cs="Times New Roman"/>
          <w:sz w:val="18"/>
          <w:szCs w:val="18"/>
        </w:rPr>
        <w:tab/>
      </w:r>
      <w:r w:rsidRPr="002C1733">
        <w:rPr>
          <w:rFonts w:ascii="Times New Roman" w:hAnsi="Times New Roman" w:cs="Times New Roman"/>
        </w:rPr>
        <w:t>ygao18@wm.edu</w:t>
      </w:r>
    </w:p>
    <w:p w14:paraId="62570B40" w14:textId="77777777" w:rsidR="009257BF" w:rsidRPr="002C1733" w:rsidRDefault="00000000">
      <w:pPr>
        <w:tabs>
          <w:tab w:val="left" w:pos="1944"/>
        </w:tabs>
        <w:spacing w:after="70" w:line="252" w:lineRule="auto"/>
        <w:ind w:left="1944" w:hanging="1944"/>
        <w:rPr>
          <w:rFonts w:ascii="Times New Roman" w:hAnsi="Times New Roman" w:cs="Times New Roman"/>
        </w:rPr>
      </w:pPr>
      <w:r w:rsidRPr="002C1733">
        <w:rPr>
          <w:rFonts w:ascii="Times New Roman" w:hAnsi="Times New Roman" w:cs="Times New Roman"/>
          <w:b/>
          <w:bCs/>
          <w:color w:val="115740"/>
          <w:spacing w:val="16"/>
          <w:sz w:val="18"/>
          <w:szCs w:val="18"/>
        </w:rPr>
        <w:t>OFFICE</w:t>
      </w:r>
      <w:r w:rsidRPr="002C1733">
        <w:rPr>
          <w:rFonts w:ascii="Times New Roman" w:hAnsi="Times New Roman" w:cs="Times New Roman"/>
          <w:sz w:val="18"/>
          <w:szCs w:val="18"/>
        </w:rPr>
        <w:tab/>
      </w:r>
      <w:r w:rsidRPr="002C1733">
        <w:rPr>
          <w:rFonts w:ascii="Times New Roman" w:hAnsi="Times New Roman" w:cs="Times New Roman"/>
        </w:rPr>
        <w:t>Integrated Science Center 4, Office 2381</w:t>
      </w:r>
    </w:p>
    <w:p w14:paraId="40577AE1" w14:textId="43C7AE18" w:rsidR="009257BF" w:rsidRPr="002C1733" w:rsidRDefault="00000000">
      <w:pPr>
        <w:tabs>
          <w:tab w:val="left" w:pos="1944"/>
        </w:tabs>
        <w:spacing w:after="70" w:line="252" w:lineRule="auto"/>
        <w:ind w:left="1944" w:hanging="1944"/>
        <w:rPr>
          <w:rFonts w:ascii="Times New Roman" w:hAnsi="Times New Roman" w:cs="Times New Roman"/>
        </w:rPr>
      </w:pPr>
      <w:r w:rsidRPr="002C1733">
        <w:rPr>
          <w:rFonts w:ascii="Times New Roman" w:hAnsi="Times New Roman" w:cs="Times New Roman"/>
          <w:b/>
          <w:bCs/>
          <w:color w:val="115740"/>
          <w:spacing w:val="16"/>
          <w:sz w:val="18"/>
          <w:szCs w:val="18"/>
        </w:rPr>
        <w:t>OFFICE HOURS</w:t>
      </w:r>
      <w:r w:rsidRPr="002C1733">
        <w:rPr>
          <w:rFonts w:ascii="Times New Roman" w:hAnsi="Times New Roman" w:cs="Times New Roman"/>
          <w:sz w:val="18"/>
          <w:szCs w:val="18"/>
        </w:rPr>
        <w:tab/>
      </w:r>
      <w:r w:rsidR="006B1D03">
        <w:rPr>
          <w:rFonts w:ascii="Times New Roman" w:hAnsi="Times New Roman" w:cs="Times New Roman"/>
        </w:rPr>
        <w:t>M</w:t>
      </w:r>
      <w:r w:rsidRPr="002C1733">
        <w:rPr>
          <w:rFonts w:ascii="Times New Roman" w:hAnsi="Times New Roman" w:cs="Times New Roman"/>
        </w:rPr>
        <w:t>/</w:t>
      </w:r>
      <w:r w:rsidR="006B1D03">
        <w:rPr>
          <w:rFonts w:ascii="Times New Roman" w:hAnsi="Times New Roman" w:cs="Times New Roman"/>
        </w:rPr>
        <w:t>W</w:t>
      </w:r>
      <w:r w:rsidRPr="002C1733">
        <w:rPr>
          <w:rFonts w:ascii="Times New Roman" w:hAnsi="Times New Roman" w:cs="Times New Roman"/>
        </w:rPr>
        <w:t xml:space="preserve"> 1</w:t>
      </w:r>
      <w:r w:rsidR="006B1D03">
        <w:rPr>
          <w:rFonts w:ascii="Times New Roman" w:hAnsi="Times New Roman" w:cs="Times New Roman"/>
        </w:rPr>
        <w:t>0</w:t>
      </w:r>
      <w:r w:rsidRPr="002C1733">
        <w:rPr>
          <w:rFonts w:ascii="Times New Roman" w:hAnsi="Times New Roman" w:cs="Times New Roman"/>
        </w:rPr>
        <w:t>:30</w:t>
      </w:r>
      <w:r w:rsidR="006B1D03">
        <w:rPr>
          <w:rFonts w:ascii="Times New Roman" w:hAnsi="Times New Roman" w:cs="Times New Roman"/>
        </w:rPr>
        <w:t xml:space="preserve"> am</w:t>
      </w:r>
      <w:r w:rsidRPr="002C1733">
        <w:rPr>
          <w:rFonts w:ascii="Times New Roman" w:hAnsi="Times New Roman" w:cs="Times New Roman"/>
        </w:rPr>
        <w:t>–</w:t>
      </w:r>
      <w:r w:rsidR="006B1D03">
        <w:rPr>
          <w:rFonts w:ascii="Times New Roman" w:hAnsi="Times New Roman" w:cs="Times New Roman"/>
        </w:rPr>
        <w:t>1</w:t>
      </w:r>
      <w:r w:rsidRPr="002C1733">
        <w:rPr>
          <w:rFonts w:ascii="Times New Roman" w:hAnsi="Times New Roman" w:cs="Times New Roman"/>
        </w:rPr>
        <w:t>2:00 pm, and by appointment</w:t>
      </w:r>
    </w:p>
    <w:p w14:paraId="7711E167" w14:textId="77777777" w:rsidR="009257BF" w:rsidRPr="002C1733" w:rsidRDefault="00000000">
      <w:pPr>
        <w:tabs>
          <w:tab w:val="left" w:pos="1944"/>
        </w:tabs>
        <w:spacing w:after="70" w:line="252" w:lineRule="auto"/>
        <w:ind w:left="1944" w:hanging="1944"/>
        <w:rPr>
          <w:rFonts w:ascii="Times New Roman" w:hAnsi="Times New Roman" w:cs="Times New Roman"/>
        </w:rPr>
      </w:pPr>
      <w:r w:rsidRPr="002C1733">
        <w:rPr>
          <w:rFonts w:ascii="Times New Roman" w:hAnsi="Times New Roman" w:cs="Times New Roman"/>
          <w:b/>
          <w:bCs/>
          <w:color w:val="115740"/>
          <w:spacing w:val="16"/>
          <w:sz w:val="18"/>
          <w:szCs w:val="18"/>
        </w:rPr>
        <w:t>MEETING TIME</w:t>
      </w:r>
      <w:r w:rsidRPr="002C1733">
        <w:rPr>
          <w:rFonts w:ascii="Times New Roman" w:hAnsi="Times New Roman" w:cs="Times New Roman"/>
          <w:sz w:val="18"/>
          <w:szCs w:val="18"/>
        </w:rPr>
        <w:tab/>
      </w:r>
      <w:r w:rsidRPr="002C1733">
        <w:rPr>
          <w:rFonts w:ascii="Times New Roman" w:hAnsi="Times New Roman" w:cs="Times New Roman"/>
        </w:rPr>
        <w:t>Tu/Th 3:30–4:50 pm</w:t>
      </w:r>
    </w:p>
    <w:p w14:paraId="04011A31" w14:textId="0ACE8A5C" w:rsidR="009257BF" w:rsidRPr="002C1733" w:rsidRDefault="00000000">
      <w:pPr>
        <w:tabs>
          <w:tab w:val="left" w:pos="1944"/>
        </w:tabs>
        <w:spacing w:after="70" w:line="252" w:lineRule="auto"/>
        <w:ind w:left="1944" w:hanging="1944"/>
        <w:rPr>
          <w:rFonts w:ascii="Times New Roman" w:hAnsi="Times New Roman" w:cs="Times New Roman"/>
        </w:rPr>
      </w:pPr>
      <w:r w:rsidRPr="002C1733">
        <w:rPr>
          <w:rFonts w:ascii="Times New Roman" w:hAnsi="Times New Roman" w:cs="Times New Roman"/>
          <w:b/>
          <w:bCs/>
          <w:color w:val="115740"/>
          <w:spacing w:val="16"/>
          <w:sz w:val="18"/>
          <w:szCs w:val="18"/>
        </w:rPr>
        <w:t>CLASSROOM</w:t>
      </w:r>
      <w:r w:rsidRPr="002C1733">
        <w:rPr>
          <w:rFonts w:ascii="Times New Roman" w:hAnsi="Times New Roman" w:cs="Times New Roman"/>
          <w:sz w:val="18"/>
          <w:szCs w:val="18"/>
        </w:rPr>
        <w:tab/>
      </w:r>
      <w:r w:rsidR="000B4EDB">
        <w:rPr>
          <w:rFonts w:ascii="Times New Roman" w:hAnsi="Times New Roman" w:cs="Times New Roman"/>
        </w:rPr>
        <w:t>PBK Hall 115</w:t>
      </w:r>
    </w:p>
    <w:p w14:paraId="39568153" w14:textId="77777777" w:rsidR="009257BF" w:rsidRPr="002C1733" w:rsidRDefault="00000000">
      <w:pPr>
        <w:tabs>
          <w:tab w:val="left" w:pos="1944"/>
        </w:tabs>
        <w:spacing w:after="70" w:line="252" w:lineRule="auto"/>
        <w:ind w:left="1944" w:hanging="1944"/>
        <w:rPr>
          <w:rFonts w:ascii="Times New Roman" w:hAnsi="Times New Roman" w:cs="Times New Roman"/>
        </w:rPr>
      </w:pPr>
      <w:r w:rsidRPr="002C1733">
        <w:rPr>
          <w:rFonts w:ascii="Times New Roman" w:hAnsi="Times New Roman" w:cs="Times New Roman"/>
          <w:b/>
          <w:bCs/>
          <w:color w:val="115740"/>
          <w:spacing w:val="16"/>
          <w:sz w:val="18"/>
          <w:szCs w:val="18"/>
        </w:rPr>
        <w:t>PREREQUISITES</w:t>
      </w:r>
      <w:r w:rsidRPr="002C1733">
        <w:rPr>
          <w:rFonts w:ascii="Times New Roman" w:hAnsi="Times New Roman" w:cs="Times New Roman"/>
          <w:sz w:val="18"/>
          <w:szCs w:val="18"/>
        </w:rPr>
        <w:tab/>
      </w:r>
      <w:r w:rsidRPr="002C1733">
        <w:rPr>
          <w:rFonts w:ascii="Times New Roman" w:hAnsi="Times New Roman" w:cs="Times New Roman"/>
        </w:rPr>
        <w:t>None. No programming, mathematics, or literature background is assumed or required.</w:t>
      </w:r>
    </w:p>
    <w:p w14:paraId="46AC177B" w14:textId="77777777" w:rsidR="009257BF" w:rsidRPr="002C1733" w:rsidRDefault="009257BF">
      <w:pPr>
        <w:spacing w:after="160"/>
        <w:rPr>
          <w:rFonts w:ascii="Times New Roman" w:hAnsi="Times New Roman" w:cs="Times New Roman"/>
        </w:rPr>
      </w:pPr>
    </w:p>
    <w:tbl>
      <w:tblPr>
        <w:tblW w:w="9360" w:type="dxa"/>
        <w:tblBorders>
          <w:top w:val="single" w:sz="2" w:space="0" w:color="B9975B"/>
          <w:left w:val="single" w:sz="12" w:space="0" w:color="B9975B"/>
          <w:bottom w:val="single" w:sz="2" w:space="0" w:color="B9975B"/>
          <w:right w:val="single" w:sz="2" w:space="0" w:color="B9975B"/>
        </w:tblBorders>
        <w:tblCellMar>
          <w:left w:w="10" w:type="dxa"/>
          <w:right w:w="10" w:type="dxa"/>
        </w:tblCellMar>
        <w:tblLook w:val="04A0" w:firstRow="1" w:lastRow="0" w:firstColumn="1" w:lastColumn="0" w:noHBand="0" w:noVBand="1"/>
      </w:tblPr>
      <w:tblGrid>
        <w:gridCol w:w="9360"/>
      </w:tblGrid>
      <w:tr w:rsidR="009257BF" w:rsidRPr="002C1733" w14:paraId="16A59497" w14:textId="77777777">
        <w:tc>
          <w:tcPr>
            <w:tcW w:w="9360" w:type="dxa"/>
            <w:shd w:val="clear" w:color="auto" w:fill="F4F1E8"/>
            <w:tcMar>
              <w:top w:w="160" w:type="dxa"/>
              <w:left w:w="200" w:type="dxa"/>
              <w:bottom w:w="160" w:type="dxa"/>
              <w:right w:w="200" w:type="dxa"/>
            </w:tcMar>
          </w:tcPr>
          <w:p w14:paraId="530DAAB7"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b/>
                <w:bCs/>
              </w:rPr>
              <w:t xml:space="preserve">A note before you read further. </w:t>
            </w:r>
            <w:r w:rsidRPr="002C1733">
              <w:rPr>
                <w:rFonts w:ascii="Times New Roman" w:hAnsi="Times New Roman" w:cs="Times New Roman"/>
              </w:rPr>
              <w:t>This is a Computer Science course that assigns Ovid, Marlowe, and Mary Shelley, and it is a literature course that will ask you to read a loss function.</w:t>
            </w:r>
          </w:p>
          <w:p w14:paraId="4E5B10F0" w14:textId="77777777" w:rsidR="009257BF" w:rsidRPr="002C1733" w:rsidRDefault="00000000">
            <w:pPr>
              <w:spacing w:line="264" w:lineRule="auto"/>
              <w:rPr>
                <w:rFonts w:ascii="Times New Roman" w:hAnsi="Times New Roman" w:cs="Times New Roman"/>
              </w:rPr>
            </w:pPr>
            <w:r w:rsidRPr="002C1733">
              <w:rPr>
                <w:rFonts w:ascii="Times New Roman" w:hAnsi="Times New Roman" w:cs="Times New Roman"/>
              </w:rPr>
              <w:t>If you are a prospective CS major who has never written a close reading, and if you are a prospective English major who has never seen a partial derivative, you are both exactly where you belong. Everything technical will be taught from zero.</w:t>
            </w:r>
          </w:p>
        </w:tc>
      </w:tr>
    </w:tbl>
    <w:p w14:paraId="694230AE" w14:textId="77777777" w:rsidR="009257BF" w:rsidRPr="002C1733" w:rsidRDefault="009257BF">
      <w:pPr>
        <w:spacing w:after="200"/>
        <w:rPr>
          <w:rFonts w:ascii="Times New Roman" w:hAnsi="Times New Roman" w:cs="Times New Roman"/>
        </w:rPr>
      </w:pPr>
    </w:p>
    <w:p w14:paraId="2B527C85" w14:textId="77777777" w:rsidR="009257BF" w:rsidRPr="002C1733" w:rsidRDefault="00000000">
      <w:pPr>
        <w:pStyle w:val="Heading1"/>
        <w:pBdr>
          <w:bottom w:val="single" w:sz="8" w:space="6" w:color="B9975B"/>
        </w:pBdr>
        <w:spacing w:before="360" w:after="160"/>
        <w:rPr>
          <w:rFonts w:ascii="Times New Roman" w:hAnsi="Times New Roman" w:cs="Times New Roman"/>
        </w:rPr>
      </w:pPr>
      <w:r w:rsidRPr="002C1733">
        <w:rPr>
          <w:rFonts w:ascii="Times New Roman" w:hAnsi="Times New Roman" w:cs="Times New Roman"/>
          <w:b/>
          <w:bCs/>
          <w:color w:val="115740"/>
          <w:spacing w:val="20"/>
          <w:sz w:val="24"/>
          <w:szCs w:val="24"/>
        </w:rPr>
        <w:t>COURSE DESCRIPTION</w:t>
      </w:r>
    </w:p>
    <w:p w14:paraId="167FD715"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Long before anyone wrote a line of code, people were telling stories about made minds: an ivory statue that warms under a sculptor’s hands, a creature assembled from corpses and abandoned by its maker, a teapot that opens its eyes after a hundred years of use. Today we build systems that we describe, without quite meaning it, in the same vocabulary — systems that “learn,” “hallucinate,” “want,” “collapse,” “forget.”</w:t>
      </w:r>
    </w:p>
    <w:p w14:paraId="416AEF29"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This seminar takes that coincidence seriously. Over thirteen units we will read speculative literature, film, and games alongside the actual technical machinery of modern machine learning, and we will treat both as texts — as artifacts made by people, encoding assumptions, arguments, and desires. A loss function is a mathematical object; it is also a sentence about what is worth minimizing. Mode collapse is a failure mode of a generative model; it is also a fable about what happens to a system rewarded for producing what pleases. We will move back and forth between the two registers until the border between them starts to feel less obvious than it did in August.</w:t>
      </w:r>
    </w:p>
    <w:p w14:paraId="3E65CA04"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 xml:space="preserve">The organizing question of the course is not “can machines think?” It is a set of harder, stranger questions. </w:t>
      </w:r>
      <w:r w:rsidRPr="002C1733">
        <w:rPr>
          <w:rFonts w:ascii="Times New Roman" w:hAnsi="Times New Roman" w:cs="Times New Roman"/>
          <w:b/>
          <w:bCs/>
        </w:rPr>
        <w:t>What do we want from a made mind, and what does the shape of that wanting tell us about ourselves? Who counts as a maker, who counts as a creature, and who gets to decide? What does it cost to be the thing that answers?</w:t>
      </w:r>
    </w:p>
    <w:p w14:paraId="6203D84A" w14:textId="77777777" w:rsidR="009257BF" w:rsidRPr="002C1733" w:rsidRDefault="00000000">
      <w:pPr>
        <w:pStyle w:val="Heading1"/>
        <w:pBdr>
          <w:bottom w:val="single" w:sz="8" w:space="6" w:color="B9975B"/>
        </w:pBdr>
        <w:spacing w:before="360" w:after="160"/>
        <w:rPr>
          <w:rFonts w:ascii="Times New Roman" w:hAnsi="Times New Roman" w:cs="Times New Roman"/>
        </w:rPr>
      </w:pPr>
      <w:r w:rsidRPr="002C1733">
        <w:rPr>
          <w:rFonts w:ascii="Times New Roman" w:hAnsi="Times New Roman" w:cs="Times New Roman"/>
          <w:b/>
          <w:bCs/>
          <w:color w:val="115740"/>
          <w:spacing w:val="20"/>
          <w:sz w:val="24"/>
          <w:szCs w:val="24"/>
        </w:rPr>
        <w:t>WHAT THIS COURSE IS (CSCI/COLL 150)</w:t>
      </w:r>
    </w:p>
    <w:p w14:paraId="488D6ABF"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 xml:space="preserve">COLL 150 is a first-year seminar in W&amp;M’s College Curriculum. It is a writing course with a topic, not a topics course with some writing attached. Roughly a third of our time together will be spent explicitly on the </w:t>
      </w:r>
      <w:r w:rsidRPr="002C1733">
        <w:rPr>
          <w:rFonts w:ascii="Times New Roman" w:hAnsi="Times New Roman" w:cs="Times New Roman"/>
        </w:rPr>
        <w:lastRenderedPageBreak/>
        <w:t>craft of scholarly work: framing a question, finding and evaluating sources, structuring an argument, giving and receiving feedback, and revising — really revising, not just proofreading.</w:t>
      </w:r>
    </w:p>
    <w:p w14:paraId="7444EF62"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By the end of the semester, you will be able to:</w:t>
      </w:r>
    </w:p>
    <w:p w14:paraId="13A0862E" w14:textId="77777777" w:rsidR="009257BF" w:rsidRPr="002C1733" w:rsidRDefault="00000000">
      <w:pPr>
        <w:pStyle w:val="ListParagraph"/>
        <w:numPr>
          <w:ilvl w:val="0"/>
          <w:numId w:val="2"/>
        </w:numPr>
        <w:spacing w:after="80" w:line="264" w:lineRule="auto"/>
        <w:rPr>
          <w:rFonts w:ascii="Times New Roman" w:hAnsi="Times New Roman" w:cs="Times New Roman"/>
        </w:rPr>
      </w:pPr>
      <w:r w:rsidRPr="002C1733">
        <w:rPr>
          <w:rFonts w:ascii="Times New Roman" w:hAnsi="Times New Roman" w:cs="Times New Roman"/>
        </w:rPr>
        <w:t>Analyze and interpret speculative texts and technical artifacts closely, attending to form, structure, rhetoric, and the assumptions each embeds. (Critical Thinking)</w:t>
      </w:r>
    </w:p>
    <w:p w14:paraId="104844B1" w14:textId="77777777" w:rsidR="009257BF" w:rsidRPr="002C1733" w:rsidRDefault="00000000">
      <w:pPr>
        <w:pStyle w:val="ListParagraph"/>
        <w:numPr>
          <w:ilvl w:val="0"/>
          <w:numId w:val="2"/>
        </w:numPr>
        <w:spacing w:after="80" w:line="264" w:lineRule="auto"/>
        <w:rPr>
          <w:rFonts w:ascii="Times New Roman" w:hAnsi="Times New Roman" w:cs="Times New Roman"/>
        </w:rPr>
      </w:pPr>
      <w:r w:rsidRPr="002C1733">
        <w:rPr>
          <w:rFonts w:ascii="Times New Roman" w:hAnsi="Times New Roman" w:cs="Times New Roman"/>
        </w:rPr>
        <w:t>Work independently to understand unfamiliar material — a nineteenth-century novel, a 2014 machine learning paper — and form and defend your own judgments about it. (Independent Inquiry)</w:t>
      </w:r>
    </w:p>
    <w:p w14:paraId="3F7FF3B2" w14:textId="77777777" w:rsidR="009257BF" w:rsidRPr="002C1733" w:rsidRDefault="00000000">
      <w:pPr>
        <w:pStyle w:val="ListParagraph"/>
        <w:numPr>
          <w:ilvl w:val="0"/>
          <w:numId w:val="2"/>
        </w:numPr>
        <w:spacing w:after="80" w:line="264" w:lineRule="auto"/>
        <w:rPr>
          <w:rFonts w:ascii="Times New Roman" w:hAnsi="Times New Roman" w:cs="Times New Roman"/>
        </w:rPr>
      </w:pPr>
      <w:r w:rsidRPr="002C1733">
        <w:rPr>
          <w:rFonts w:ascii="Times New Roman" w:hAnsi="Times New Roman" w:cs="Times New Roman"/>
        </w:rPr>
        <w:t>Write scholarly prose that communicates a complex, contestable argument in your own voice, supported by evidence and properly cited. (Scholarly Writing)</w:t>
      </w:r>
    </w:p>
    <w:p w14:paraId="2AB4D2C0" w14:textId="77777777" w:rsidR="009257BF" w:rsidRPr="002C1733" w:rsidRDefault="00000000">
      <w:pPr>
        <w:pStyle w:val="ListParagraph"/>
        <w:numPr>
          <w:ilvl w:val="0"/>
          <w:numId w:val="2"/>
        </w:numPr>
        <w:spacing w:after="80" w:line="264" w:lineRule="auto"/>
        <w:rPr>
          <w:rFonts w:ascii="Times New Roman" w:hAnsi="Times New Roman" w:cs="Times New Roman"/>
        </w:rPr>
      </w:pPr>
      <w:r w:rsidRPr="002C1733">
        <w:rPr>
          <w:rFonts w:ascii="Times New Roman" w:hAnsi="Times New Roman" w:cs="Times New Roman"/>
        </w:rPr>
        <w:t>Locate, evaluate, and cite scholarly and technical sources, including through Swem Library’s research tools. (Information Literacy)</w:t>
      </w:r>
    </w:p>
    <w:p w14:paraId="7605D67B" w14:textId="77777777" w:rsidR="009257BF" w:rsidRPr="002C1733" w:rsidRDefault="00000000">
      <w:pPr>
        <w:pStyle w:val="ListParagraph"/>
        <w:numPr>
          <w:ilvl w:val="0"/>
          <w:numId w:val="2"/>
        </w:numPr>
        <w:spacing w:after="80" w:line="264" w:lineRule="auto"/>
        <w:rPr>
          <w:rFonts w:ascii="Times New Roman" w:hAnsi="Times New Roman" w:cs="Times New Roman"/>
        </w:rPr>
      </w:pPr>
      <w:r w:rsidRPr="002C1733">
        <w:rPr>
          <w:rFonts w:ascii="Times New Roman" w:hAnsi="Times New Roman" w:cs="Times New Roman"/>
        </w:rPr>
        <w:t>Speak and listen as a member of a seminar: pose real questions, disagree productively, lead discussion, and present research to an audience. (Oral Communication)</w:t>
      </w:r>
    </w:p>
    <w:p w14:paraId="59021881" w14:textId="77777777" w:rsidR="009257BF" w:rsidRPr="002C1733" w:rsidRDefault="00000000">
      <w:pPr>
        <w:pStyle w:val="ListParagraph"/>
        <w:numPr>
          <w:ilvl w:val="0"/>
          <w:numId w:val="2"/>
        </w:numPr>
        <w:spacing w:after="80" w:line="264" w:lineRule="auto"/>
        <w:rPr>
          <w:rFonts w:ascii="Times New Roman" w:hAnsi="Times New Roman" w:cs="Times New Roman"/>
        </w:rPr>
      </w:pPr>
      <w:r w:rsidRPr="002C1733">
        <w:rPr>
          <w:rFonts w:ascii="Times New Roman" w:hAnsi="Times New Roman" w:cs="Times New Roman"/>
        </w:rPr>
        <w:t>Explain the core mechanics of contemporary machine learning — objective functions, gradient descent, generative modeling, reinforcement learning — accurately, in plain English, to a non-specialist.</w:t>
      </w:r>
    </w:p>
    <w:p w14:paraId="4072F563" w14:textId="77777777" w:rsidR="009257BF" w:rsidRPr="002C1733" w:rsidRDefault="009257BF">
      <w:pPr>
        <w:spacing w:after="60"/>
        <w:rPr>
          <w:rFonts w:ascii="Times New Roman" w:hAnsi="Times New Roman" w:cs="Times New Roman"/>
        </w:rPr>
      </w:pPr>
    </w:p>
    <w:p w14:paraId="153CBFB8"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b/>
          <w:bCs/>
        </w:rPr>
        <w:t>A grade of C− or better fulfills the COLL 150 requirement.</w:t>
      </w:r>
    </w:p>
    <w:p w14:paraId="5693A6C5" w14:textId="77777777" w:rsidR="009257BF" w:rsidRPr="002C1733" w:rsidRDefault="00000000">
      <w:pPr>
        <w:pStyle w:val="Heading1"/>
        <w:pBdr>
          <w:bottom w:val="single" w:sz="8" w:space="6" w:color="B9975B"/>
        </w:pBdr>
        <w:spacing w:before="360" w:after="160"/>
        <w:rPr>
          <w:rFonts w:ascii="Times New Roman" w:hAnsi="Times New Roman" w:cs="Times New Roman"/>
        </w:rPr>
      </w:pPr>
      <w:r w:rsidRPr="002C1733">
        <w:rPr>
          <w:rFonts w:ascii="Times New Roman" w:hAnsi="Times New Roman" w:cs="Times New Roman"/>
          <w:b/>
          <w:bCs/>
          <w:color w:val="115740"/>
          <w:spacing w:val="20"/>
          <w:sz w:val="24"/>
          <w:szCs w:val="24"/>
        </w:rPr>
        <w:t>REQUIRED MATERIALS</w:t>
      </w:r>
    </w:p>
    <w:p w14:paraId="7971C4DB"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Please acquire the editions listed below where an edition is specified; page numbers in class will refer to them. Everything not listed here will be posted to Blackboard as a PDF or a licensed streaming link. Cost is a real constraint — if any of this is a hardship, email me in the first week and we will solve it quietly and without fuss. Swem holds copies of everything, and I keep a small lending shelf.</w:t>
      </w:r>
    </w:p>
    <w:p w14:paraId="1C99F7FA" w14:textId="40412072" w:rsidR="009257BF" w:rsidRPr="002C1733" w:rsidRDefault="00000000">
      <w:pPr>
        <w:pStyle w:val="Heading3"/>
        <w:spacing w:before="200" w:after="80"/>
        <w:rPr>
          <w:rFonts w:ascii="Times New Roman" w:hAnsi="Times New Roman" w:cs="Times New Roman"/>
        </w:rPr>
      </w:pPr>
      <w:r w:rsidRPr="002C1733">
        <w:rPr>
          <w:rFonts w:ascii="Times New Roman" w:hAnsi="Times New Roman" w:cs="Times New Roman"/>
          <w:b/>
          <w:bCs/>
          <w:color w:val="444444"/>
          <w:sz w:val="21"/>
          <w:szCs w:val="21"/>
        </w:rPr>
        <w:t>Books</w:t>
      </w:r>
    </w:p>
    <w:p w14:paraId="59CAF362"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Ovid, Metamorphoses, trans. Stanley Lombardo (Hackett, 2010) — or any complete verse translation you prefer.</w:t>
      </w:r>
    </w:p>
    <w:p w14:paraId="59E7CDF7" w14:textId="085CFC9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 xml:space="preserve">Mary Shelley, Frankenstein: The 1818 Text, Contexts, Criticism, ed. J. Paul Hunter, Norton Critical Edition, 3rd ed. (W. W. Norton, 2022). </w:t>
      </w:r>
    </w:p>
    <w:p w14:paraId="2CD574FE" w14:textId="0EC61642"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 xml:space="preserve">Christopher Marlowe, Doctor Faustus: ed. David Bevington &amp; Eric Rasmussen, Revels Student Edition (Manchester UP). </w:t>
      </w:r>
    </w:p>
    <w:p w14:paraId="13F5FC35"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Steven Connor, The Madness of Knowledge: On Wisdom, Ignorance and Fantasies of Knowing (Reaktion, 2019).</w:t>
      </w:r>
    </w:p>
    <w:p w14:paraId="5ED93F1D"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Ted Chiang, Exhalation (Vintage) — for “The Lifecycle of Software Objects.”</w:t>
      </w:r>
    </w:p>
    <w:p w14:paraId="4F572EC6"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Kazuo Ishiguro, Klara and the Sun (Vintage).</w:t>
      </w:r>
    </w:p>
    <w:p w14:paraId="5EAA49B4"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Toriyama Sekien, Japandemonium Illustrated: The Yokai Encyclopedias of Toriyama Sekien, trans. Hiroko Yoda &amp; Matt Alt (Dover, 2016).</w:t>
      </w:r>
    </w:p>
    <w:p w14:paraId="45DA6E2F"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Karel Čapek, R.U.R. — any translation; the 1923 Selver translation is in the public domain and free online.</w:t>
      </w:r>
    </w:p>
    <w:p w14:paraId="67C1DB36" w14:textId="77777777" w:rsidR="009257BF" w:rsidRPr="002C1733" w:rsidRDefault="00000000">
      <w:pPr>
        <w:pStyle w:val="Heading3"/>
        <w:spacing w:before="200" w:after="80"/>
        <w:rPr>
          <w:rFonts w:ascii="Times New Roman" w:hAnsi="Times New Roman" w:cs="Times New Roman"/>
        </w:rPr>
      </w:pPr>
      <w:r w:rsidRPr="002C1733">
        <w:rPr>
          <w:rFonts w:ascii="Times New Roman" w:hAnsi="Times New Roman" w:cs="Times New Roman"/>
          <w:b/>
          <w:bCs/>
          <w:color w:val="444444"/>
          <w:sz w:val="21"/>
          <w:szCs w:val="21"/>
        </w:rPr>
        <w:t>Films</w:t>
      </w:r>
    </w:p>
    <w:p w14:paraId="1303942A"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The Matrix (Wachowskis, 1999) · Ex Machina (Garland, 2014) · Her (Jonze, 2013). Optional: Ghost in the Shell (Oshii, 1995), Blade Runner (Scott, 1982).</w:t>
      </w:r>
    </w:p>
    <w:p w14:paraId="0B57D82B" w14:textId="77777777" w:rsidR="009257BF" w:rsidRPr="002C1733" w:rsidRDefault="00000000">
      <w:pPr>
        <w:pStyle w:val="Heading3"/>
        <w:spacing w:before="200" w:after="80"/>
        <w:rPr>
          <w:rFonts w:ascii="Times New Roman" w:hAnsi="Times New Roman" w:cs="Times New Roman"/>
        </w:rPr>
      </w:pPr>
      <w:r w:rsidRPr="002C1733">
        <w:rPr>
          <w:rFonts w:ascii="Times New Roman" w:hAnsi="Times New Roman" w:cs="Times New Roman"/>
          <w:b/>
          <w:bCs/>
          <w:color w:val="444444"/>
          <w:sz w:val="21"/>
          <w:szCs w:val="21"/>
        </w:rPr>
        <w:t>Games</w:t>
      </w:r>
    </w:p>
    <w:p w14:paraId="440C92FB"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lastRenderedPageBreak/>
        <w:t>Detroit: Become Human (Quantic Dream, 2018) and the Mass Effect trilogy (BioWare, 2007–2012).</w:t>
      </w:r>
    </w:p>
    <w:p w14:paraId="316F8B37"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b/>
          <w:bCs/>
        </w:rPr>
        <w:t xml:space="preserve">You are not required to buy or complete these games. </w:t>
      </w:r>
      <w:r w:rsidRPr="002C1733">
        <w:rPr>
          <w:rFonts w:ascii="Times New Roman" w:hAnsi="Times New Roman" w:cs="Times New Roman"/>
        </w:rPr>
        <w:t>Games are long and expensive, and I will not pretend otherwise. Playing is a pleasure, not a prerequisite. Interactive sequences that we need to discuss will be provided as YouTube links available on the course website.</w:t>
      </w:r>
    </w:p>
    <w:p w14:paraId="1F3C8344" w14:textId="77777777" w:rsidR="009257BF" w:rsidRPr="002C1733" w:rsidRDefault="00000000">
      <w:pPr>
        <w:pStyle w:val="Heading3"/>
        <w:spacing w:before="200" w:after="80"/>
        <w:rPr>
          <w:rFonts w:ascii="Times New Roman" w:hAnsi="Times New Roman" w:cs="Times New Roman"/>
        </w:rPr>
      </w:pPr>
      <w:r w:rsidRPr="002C1733">
        <w:rPr>
          <w:rFonts w:ascii="Times New Roman" w:hAnsi="Times New Roman" w:cs="Times New Roman"/>
          <w:b/>
          <w:bCs/>
          <w:color w:val="444444"/>
          <w:sz w:val="21"/>
          <w:szCs w:val="21"/>
        </w:rPr>
        <w:t>Technical readings</w:t>
      </w:r>
    </w:p>
    <w:p w14:paraId="6F8489B6"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All free and online; several are videos. These are chosen for accessibility, not rigor-for-its-own-sake. Full links on Blackboard.</w:t>
      </w:r>
    </w:p>
    <w:p w14:paraId="4AA40C4B"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3Blue1Brown, Neural Networks, chs. 1–2 (Unit 5) and chs. 3–4 (Unit 9) — video</w:t>
      </w:r>
    </w:p>
    <w:p w14:paraId="127878C8"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Sutton &amp; Barto, Reinforcement Learning: An Introduction, 2nd ed., ch. 1 — free PDF</w:t>
      </w:r>
    </w:p>
    <w:p w14:paraId="32BE5AD6"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Goodfellow et al., “Generative Adversarial Networks” (NeurIPS, 2014) — abstract, Figure 1, and §3 only</w:t>
      </w:r>
    </w:p>
    <w:p w14:paraId="4BAF96D6"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Goodfellow, “NIPS 2016 Tutorial: Generative Adversarial Networks,” §5.1.1 — two pages; this, not the 2014 paper, is where mode collapse is named and explained</w:t>
      </w:r>
    </w:p>
    <w:p w14:paraId="2A3A7A71"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Amodei et al., “Concrete Problems in AI Safety” (2016) — §§1–3</w:t>
      </w:r>
    </w:p>
    <w:p w14:paraId="20780DB4"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Krakovna et al., “Specification Gaming: The Flip Side of AI Ingenuity” (DeepMind, 2020), with the accompanying public list of examples</w:t>
      </w:r>
    </w:p>
    <w:p w14:paraId="38B28543"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Turing, “Computing Machinery and Intelligence” (Mind, 1950)</w:t>
      </w:r>
    </w:p>
    <w:p w14:paraId="33AF3122"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Bender, Gebru, McMillan-Major &amp; Shmitchell, “On the Dangers of Stochastic Parrots” (FAccT, 2021)</w:t>
      </w:r>
    </w:p>
    <w:p w14:paraId="62FCBE5D" w14:textId="77777777" w:rsidR="009257BF" w:rsidRPr="002C1733" w:rsidRDefault="00000000">
      <w:pPr>
        <w:pStyle w:val="ListParagraph"/>
        <w:numPr>
          <w:ilvl w:val="0"/>
          <w:numId w:val="3"/>
        </w:numPr>
        <w:spacing w:after="60" w:line="264" w:lineRule="auto"/>
        <w:rPr>
          <w:rFonts w:ascii="Times New Roman" w:hAnsi="Times New Roman" w:cs="Times New Roman"/>
        </w:rPr>
      </w:pPr>
      <w:r w:rsidRPr="002C1733">
        <w:rPr>
          <w:rFonts w:ascii="Times New Roman" w:hAnsi="Times New Roman" w:cs="Times New Roman"/>
        </w:rPr>
        <w:t>Ted Chiang, “ChatGPT Is a Blurry JPEG of the Web” (The New Yorker, 9 February 2023)</w:t>
      </w:r>
    </w:p>
    <w:p w14:paraId="151FEDE6" w14:textId="77777777" w:rsidR="009257BF" w:rsidRPr="002C1733" w:rsidRDefault="009257BF">
      <w:pPr>
        <w:spacing w:after="120"/>
        <w:rPr>
          <w:rFonts w:ascii="Times New Roman" w:hAnsi="Times New Roman" w:cs="Times New Roman"/>
        </w:rPr>
      </w:pPr>
    </w:p>
    <w:tbl>
      <w:tblPr>
        <w:tblW w:w="9360" w:type="dxa"/>
        <w:tblBorders>
          <w:top w:val="single" w:sz="2" w:space="0" w:color="B9975B"/>
          <w:left w:val="single" w:sz="12" w:space="0" w:color="B9975B"/>
          <w:bottom w:val="single" w:sz="2" w:space="0" w:color="B9975B"/>
          <w:right w:val="single" w:sz="2" w:space="0" w:color="B9975B"/>
        </w:tblBorders>
        <w:tblCellMar>
          <w:left w:w="10" w:type="dxa"/>
          <w:right w:w="10" w:type="dxa"/>
        </w:tblCellMar>
        <w:tblLook w:val="04A0" w:firstRow="1" w:lastRow="0" w:firstColumn="1" w:lastColumn="0" w:noHBand="0" w:noVBand="1"/>
      </w:tblPr>
      <w:tblGrid>
        <w:gridCol w:w="9360"/>
      </w:tblGrid>
      <w:tr w:rsidR="009257BF" w:rsidRPr="002C1733" w14:paraId="7796CD53" w14:textId="77777777">
        <w:tc>
          <w:tcPr>
            <w:tcW w:w="9360" w:type="dxa"/>
            <w:shd w:val="clear" w:color="auto" w:fill="FBF3F3"/>
            <w:tcMar>
              <w:top w:w="160" w:type="dxa"/>
              <w:left w:w="200" w:type="dxa"/>
              <w:bottom w:w="160" w:type="dxa"/>
              <w:right w:w="200" w:type="dxa"/>
            </w:tcMar>
          </w:tcPr>
          <w:p w14:paraId="04F64A8E" w14:textId="77777777" w:rsidR="009257BF" w:rsidRPr="002C1733" w:rsidRDefault="00000000">
            <w:pPr>
              <w:spacing w:line="264" w:lineRule="auto"/>
              <w:rPr>
                <w:rFonts w:ascii="Times New Roman" w:hAnsi="Times New Roman" w:cs="Times New Roman"/>
              </w:rPr>
            </w:pPr>
            <w:r w:rsidRPr="002C1733">
              <w:rPr>
                <w:rFonts w:ascii="Times New Roman" w:hAnsi="Times New Roman" w:cs="Times New Roman"/>
                <w:b/>
                <w:bCs/>
              </w:rPr>
              <w:t xml:space="preserve">Content advisory. </w:t>
            </w:r>
            <w:r w:rsidRPr="002C1733">
              <w:rPr>
                <w:rFonts w:ascii="Times New Roman" w:hAnsi="Times New Roman" w:cs="Times New Roman"/>
              </w:rPr>
              <w:t>Our texts include depictions of violence, bodily horror, suicide, sexual coercion, abuse (including the abuse of children and of android characters coded as children), racialized dehumanization, and self-destruction. Frankenstein, Doctor Faustus, and Detroit: Become Human are each, in their way, difficult. I will flag specific material in advance, and there are always alternate paths through an assignment. Come talk to me.</w:t>
            </w:r>
          </w:p>
        </w:tc>
      </w:tr>
    </w:tbl>
    <w:p w14:paraId="6F4FDBA4" w14:textId="77777777" w:rsidR="009257BF" w:rsidRPr="002C1733" w:rsidRDefault="00000000">
      <w:pPr>
        <w:pStyle w:val="Heading1"/>
        <w:pBdr>
          <w:bottom w:val="single" w:sz="8" w:space="6" w:color="B9975B"/>
        </w:pBdr>
        <w:spacing w:before="360" w:after="160"/>
        <w:rPr>
          <w:rFonts w:ascii="Times New Roman" w:hAnsi="Times New Roman" w:cs="Times New Roman"/>
        </w:rPr>
      </w:pPr>
      <w:r w:rsidRPr="002C1733">
        <w:rPr>
          <w:rFonts w:ascii="Times New Roman" w:hAnsi="Times New Roman" w:cs="Times New Roman"/>
          <w:b/>
          <w:bCs/>
          <w:color w:val="115740"/>
          <w:spacing w:val="20"/>
          <w:sz w:val="24"/>
          <w:szCs w:val="24"/>
        </w:rPr>
        <w:t>ASSIGNMENTS AND GRADING</w:t>
      </w:r>
    </w:p>
    <w:tbl>
      <w:tblPr>
        <w:tblW w:w="9360" w:type="dxa"/>
        <w:tblBorders>
          <w:top w:val="single" w:sz="4" w:space="0" w:color="BFBFBF"/>
          <w:bottom w:val="single" w:sz="4" w:space="0" w:color="BFBFBF"/>
          <w:insideH w:val="single" w:sz="2" w:space="0" w:color="D9D9D9"/>
        </w:tblBorders>
        <w:tblCellMar>
          <w:left w:w="10" w:type="dxa"/>
          <w:right w:w="10" w:type="dxa"/>
        </w:tblCellMar>
        <w:tblLook w:val="04A0" w:firstRow="1" w:lastRow="0" w:firstColumn="1" w:lastColumn="0" w:noHBand="0" w:noVBand="1"/>
      </w:tblPr>
      <w:tblGrid>
        <w:gridCol w:w="3192"/>
        <w:gridCol w:w="2232"/>
        <w:gridCol w:w="3936"/>
      </w:tblGrid>
      <w:tr w:rsidR="009257BF" w:rsidRPr="002C1733" w14:paraId="39A1E45B" w14:textId="77777777">
        <w:tc>
          <w:tcPr>
            <w:tcW w:w="0" w:type="dxa"/>
            <w:shd w:val="clear" w:color="auto" w:fill="115740"/>
            <w:tcMar>
              <w:top w:w="60" w:type="dxa"/>
              <w:left w:w="120" w:type="dxa"/>
              <w:bottom w:w="60" w:type="dxa"/>
              <w:right w:w="120" w:type="dxa"/>
            </w:tcMar>
          </w:tcPr>
          <w:p w14:paraId="65AA1165" w14:textId="77777777"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b/>
                <w:bCs/>
                <w:color w:val="FFFFFF"/>
                <w:sz w:val="17"/>
                <w:szCs w:val="17"/>
              </w:rPr>
              <w:t>ASSIGNMENT</w:t>
            </w:r>
          </w:p>
        </w:tc>
        <w:tc>
          <w:tcPr>
            <w:tcW w:w="0" w:type="dxa"/>
            <w:shd w:val="clear" w:color="auto" w:fill="115740"/>
            <w:tcMar>
              <w:top w:w="60" w:type="dxa"/>
              <w:left w:w="120" w:type="dxa"/>
              <w:bottom w:w="60" w:type="dxa"/>
              <w:right w:w="120" w:type="dxa"/>
            </w:tcMar>
          </w:tcPr>
          <w:p w14:paraId="486A4268" w14:textId="77777777" w:rsidR="009257BF" w:rsidRPr="002C1733" w:rsidRDefault="00000000">
            <w:pPr>
              <w:spacing w:before="60" w:after="60" w:line="252" w:lineRule="auto"/>
              <w:jc w:val="center"/>
              <w:rPr>
                <w:rFonts w:ascii="Times New Roman" w:hAnsi="Times New Roman" w:cs="Times New Roman"/>
              </w:rPr>
            </w:pPr>
            <w:r w:rsidRPr="002C1733">
              <w:rPr>
                <w:rFonts w:ascii="Times New Roman" w:hAnsi="Times New Roman" w:cs="Times New Roman"/>
                <w:b/>
                <w:bCs/>
                <w:color w:val="FFFFFF"/>
                <w:sz w:val="17"/>
                <w:szCs w:val="17"/>
              </w:rPr>
              <w:t>WEIGHT</w:t>
            </w:r>
          </w:p>
        </w:tc>
        <w:tc>
          <w:tcPr>
            <w:tcW w:w="0" w:type="dxa"/>
            <w:shd w:val="clear" w:color="auto" w:fill="115740"/>
            <w:tcMar>
              <w:top w:w="60" w:type="dxa"/>
              <w:left w:w="120" w:type="dxa"/>
              <w:bottom w:w="60" w:type="dxa"/>
              <w:right w:w="120" w:type="dxa"/>
            </w:tcMar>
          </w:tcPr>
          <w:p w14:paraId="2F826D25" w14:textId="77777777"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b/>
                <w:bCs/>
                <w:color w:val="FFFFFF"/>
                <w:sz w:val="17"/>
                <w:szCs w:val="17"/>
              </w:rPr>
              <w:t>DUE</w:t>
            </w:r>
          </w:p>
        </w:tc>
      </w:tr>
      <w:tr w:rsidR="009257BF" w:rsidRPr="002C1733" w14:paraId="1280C9CF" w14:textId="77777777">
        <w:tc>
          <w:tcPr>
            <w:tcW w:w="0" w:type="dxa"/>
            <w:tcMar>
              <w:top w:w="60" w:type="dxa"/>
              <w:left w:w="120" w:type="dxa"/>
              <w:bottom w:w="60" w:type="dxa"/>
              <w:right w:w="120" w:type="dxa"/>
            </w:tcMar>
          </w:tcPr>
          <w:p w14:paraId="12C24E94" w14:textId="77777777"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sz w:val="20"/>
                <w:szCs w:val="20"/>
              </w:rPr>
              <w:t>Essay 1: Close Reading (1,200–1,500 words) + required revision</w:t>
            </w:r>
          </w:p>
        </w:tc>
        <w:tc>
          <w:tcPr>
            <w:tcW w:w="0" w:type="dxa"/>
            <w:tcMar>
              <w:top w:w="60" w:type="dxa"/>
              <w:left w:w="120" w:type="dxa"/>
              <w:bottom w:w="60" w:type="dxa"/>
              <w:right w:w="120" w:type="dxa"/>
            </w:tcMar>
          </w:tcPr>
          <w:p w14:paraId="434D3D3C" w14:textId="77777777" w:rsidR="009257BF" w:rsidRPr="002C1733" w:rsidRDefault="00000000">
            <w:pPr>
              <w:spacing w:before="60" w:after="60" w:line="252" w:lineRule="auto"/>
              <w:jc w:val="center"/>
              <w:rPr>
                <w:rFonts w:ascii="Times New Roman" w:hAnsi="Times New Roman" w:cs="Times New Roman"/>
              </w:rPr>
            </w:pPr>
            <w:r w:rsidRPr="002C1733">
              <w:rPr>
                <w:rFonts w:ascii="Times New Roman" w:hAnsi="Times New Roman" w:cs="Times New Roman"/>
                <w:sz w:val="20"/>
                <w:szCs w:val="20"/>
              </w:rPr>
              <w:t>25%</w:t>
            </w:r>
          </w:p>
        </w:tc>
        <w:tc>
          <w:tcPr>
            <w:tcW w:w="0" w:type="dxa"/>
            <w:tcMar>
              <w:top w:w="60" w:type="dxa"/>
              <w:left w:w="120" w:type="dxa"/>
              <w:bottom w:w="60" w:type="dxa"/>
              <w:right w:w="120" w:type="dxa"/>
            </w:tcMar>
          </w:tcPr>
          <w:p w14:paraId="05330CDA" w14:textId="38F16671"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sz w:val="20"/>
                <w:szCs w:val="20"/>
              </w:rPr>
              <w:t xml:space="preserve">Draft </w:t>
            </w:r>
            <w:r w:rsidR="003E231A">
              <w:rPr>
                <w:rFonts w:ascii="Times New Roman" w:hAnsi="Times New Roman" w:cs="Times New Roman"/>
                <w:sz w:val="20"/>
                <w:szCs w:val="20"/>
              </w:rPr>
              <w:t>(09/21)</w:t>
            </w:r>
            <w:r w:rsidRPr="002C1733">
              <w:rPr>
                <w:rFonts w:ascii="Times New Roman" w:hAnsi="Times New Roman" w:cs="Times New Roman"/>
                <w:sz w:val="20"/>
                <w:szCs w:val="20"/>
              </w:rPr>
              <w:t xml:space="preserve"> · Revision </w:t>
            </w:r>
            <w:r w:rsidR="00135A93">
              <w:rPr>
                <w:rFonts w:ascii="Times New Roman" w:hAnsi="Times New Roman" w:cs="Times New Roman"/>
                <w:sz w:val="20"/>
                <w:szCs w:val="20"/>
              </w:rPr>
              <w:t>(10/05)</w:t>
            </w:r>
          </w:p>
        </w:tc>
      </w:tr>
      <w:tr w:rsidR="009257BF" w:rsidRPr="002C1733" w14:paraId="0CF4B988" w14:textId="77777777">
        <w:tc>
          <w:tcPr>
            <w:tcW w:w="0" w:type="dxa"/>
            <w:tcMar>
              <w:top w:w="60" w:type="dxa"/>
              <w:left w:w="120" w:type="dxa"/>
              <w:bottom w:w="60" w:type="dxa"/>
              <w:right w:w="120" w:type="dxa"/>
            </w:tcMar>
          </w:tcPr>
          <w:p w14:paraId="71CAD008" w14:textId="77777777"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sz w:val="20"/>
                <w:szCs w:val="20"/>
              </w:rPr>
              <w:t>Essay 2: Reading the Machine (1,500–1,800 words)</w:t>
            </w:r>
          </w:p>
        </w:tc>
        <w:tc>
          <w:tcPr>
            <w:tcW w:w="0" w:type="dxa"/>
            <w:tcMar>
              <w:top w:w="60" w:type="dxa"/>
              <w:left w:w="120" w:type="dxa"/>
              <w:bottom w:w="60" w:type="dxa"/>
              <w:right w:w="120" w:type="dxa"/>
            </w:tcMar>
          </w:tcPr>
          <w:p w14:paraId="0C9BA7D7" w14:textId="77777777" w:rsidR="009257BF" w:rsidRPr="002C1733" w:rsidRDefault="00000000">
            <w:pPr>
              <w:spacing w:before="60" w:after="60" w:line="252" w:lineRule="auto"/>
              <w:jc w:val="center"/>
              <w:rPr>
                <w:rFonts w:ascii="Times New Roman" w:hAnsi="Times New Roman" w:cs="Times New Roman"/>
              </w:rPr>
            </w:pPr>
            <w:r w:rsidRPr="002C1733">
              <w:rPr>
                <w:rFonts w:ascii="Times New Roman" w:hAnsi="Times New Roman" w:cs="Times New Roman"/>
                <w:sz w:val="20"/>
                <w:szCs w:val="20"/>
              </w:rPr>
              <w:t>25%</w:t>
            </w:r>
          </w:p>
        </w:tc>
        <w:tc>
          <w:tcPr>
            <w:tcW w:w="0" w:type="dxa"/>
            <w:tcMar>
              <w:top w:w="60" w:type="dxa"/>
              <w:left w:w="120" w:type="dxa"/>
              <w:bottom w:w="60" w:type="dxa"/>
              <w:right w:w="120" w:type="dxa"/>
            </w:tcMar>
          </w:tcPr>
          <w:p w14:paraId="4A8289FE" w14:textId="04458E8A"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sz w:val="20"/>
                <w:szCs w:val="20"/>
              </w:rPr>
              <w:t xml:space="preserve">Draft </w:t>
            </w:r>
            <w:r w:rsidR="00135A93">
              <w:rPr>
                <w:rFonts w:ascii="Times New Roman" w:hAnsi="Times New Roman" w:cs="Times New Roman"/>
                <w:sz w:val="20"/>
                <w:szCs w:val="20"/>
              </w:rPr>
              <w:t>(10/19)</w:t>
            </w:r>
            <w:r w:rsidRPr="002C1733">
              <w:rPr>
                <w:rFonts w:ascii="Times New Roman" w:hAnsi="Times New Roman" w:cs="Times New Roman"/>
                <w:sz w:val="20"/>
                <w:szCs w:val="20"/>
              </w:rPr>
              <w:t xml:space="preserve"> · Final </w:t>
            </w:r>
            <w:r w:rsidR="00135A93">
              <w:rPr>
                <w:rFonts w:ascii="Times New Roman" w:hAnsi="Times New Roman" w:cs="Times New Roman"/>
                <w:sz w:val="20"/>
                <w:szCs w:val="20"/>
              </w:rPr>
              <w:t>(11/</w:t>
            </w:r>
            <w:r w:rsidR="000C2830">
              <w:rPr>
                <w:rFonts w:ascii="Times New Roman" w:hAnsi="Times New Roman" w:cs="Times New Roman"/>
                <w:sz w:val="20"/>
                <w:szCs w:val="20"/>
              </w:rPr>
              <w:t>0</w:t>
            </w:r>
            <w:r w:rsidR="00135A93">
              <w:rPr>
                <w:rFonts w:ascii="Times New Roman" w:hAnsi="Times New Roman" w:cs="Times New Roman"/>
                <w:sz w:val="20"/>
                <w:szCs w:val="20"/>
              </w:rPr>
              <w:t>2)</w:t>
            </w:r>
          </w:p>
        </w:tc>
      </w:tr>
      <w:tr w:rsidR="009257BF" w:rsidRPr="002C1733" w14:paraId="6A00E0A9" w14:textId="77777777">
        <w:tc>
          <w:tcPr>
            <w:tcW w:w="0" w:type="dxa"/>
            <w:tcMar>
              <w:top w:w="60" w:type="dxa"/>
              <w:left w:w="120" w:type="dxa"/>
              <w:bottom w:w="60" w:type="dxa"/>
              <w:right w:w="120" w:type="dxa"/>
            </w:tcMar>
          </w:tcPr>
          <w:p w14:paraId="237E4B3C" w14:textId="77777777"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sz w:val="20"/>
                <w:szCs w:val="20"/>
              </w:rPr>
              <w:t>Midterm: Creative Writing Response (600–900 words)</w:t>
            </w:r>
          </w:p>
        </w:tc>
        <w:tc>
          <w:tcPr>
            <w:tcW w:w="0" w:type="dxa"/>
            <w:tcMar>
              <w:top w:w="60" w:type="dxa"/>
              <w:left w:w="120" w:type="dxa"/>
              <w:bottom w:w="60" w:type="dxa"/>
              <w:right w:w="120" w:type="dxa"/>
            </w:tcMar>
          </w:tcPr>
          <w:p w14:paraId="3F18F272" w14:textId="77777777" w:rsidR="009257BF" w:rsidRPr="002C1733" w:rsidRDefault="00000000">
            <w:pPr>
              <w:spacing w:before="60" w:after="60" w:line="252" w:lineRule="auto"/>
              <w:jc w:val="center"/>
              <w:rPr>
                <w:rFonts w:ascii="Times New Roman" w:hAnsi="Times New Roman" w:cs="Times New Roman"/>
              </w:rPr>
            </w:pPr>
            <w:r w:rsidRPr="002C1733">
              <w:rPr>
                <w:rFonts w:ascii="Times New Roman" w:hAnsi="Times New Roman" w:cs="Times New Roman"/>
                <w:sz w:val="20"/>
                <w:szCs w:val="20"/>
              </w:rPr>
              <w:t>10%</w:t>
            </w:r>
          </w:p>
        </w:tc>
        <w:tc>
          <w:tcPr>
            <w:tcW w:w="0" w:type="dxa"/>
            <w:tcMar>
              <w:top w:w="60" w:type="dxa"/>
              <w:left w:w="120" w:type="dxa"/>
              <w:bottom w:w="60" w:type="dxa"/>
              <w:right w:w="120" w:type="dxa"/>
            </w:tcMar>
          </w:tcPr>
          <w:p w14:paraId="3B19DB5A" w14:textId="1AC1BA82"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sz w:val="20"/>
                <w:szCs w:val="20"/>
              </w:rPr>
              <w:t>Oct 15</w:t>
            </w:r>
            <w:r w:rsidR="000C2830">
              <w:rPr>
                <w:rFonts w:ascii="Times New Roman" w:hAnsi="Times New Roman" w:cs="Times New Roman"/>
                <w:sz w:val="20"/>
                <w:szCs w:val="20"/>
              </w:rPr>
              <w:t>, in-person &amp; in-class</w:t>
            </w:r>
          </w:p>
        </w:tc>
      </w:tr>
      <w:tr w:rsidR="009257BF" w:rsidRPr="002C1733" w14:paraId="26332390" w14:textId="77777777">
        <w:tc>
          <w:tcPr>
            <w:tcW w:w="0" w:type="dxa"/>
            <w:tcMar>
              <w:top w:w="60" w:type="dxa"/>
              <w:left w:w="120" w:type="dxa"/>
              <w:bottom w:w="60" w:type="dxa"/>
              <w:right w:w="120" w:type="dxa"/>
            </w:tcMar>
          </w:tcPr>
          <w:p w14:paraId="3EB7B2D9" w14:textId="77777777"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sz w:val="20"/>
                <w:szCs w:val="20"/>
              </w:rPr>
              <w:t>Research project: final essay (2,500–3,000 words)</w:t>
            </w:r>
          </w:p>
        </w:tc>
        <w:tc>
          <w:tcPr>
            <w:tcW w:w="0" w:type="dxa"/>
            <w:tcMar>
              <w:top w:w="60" w:type="dxa"/>
              <w:left w:w="120" w:type="dxa"/>
              <w:bottom w:w="60" w:type="dxa"/>
              <w:right w:w="120" w:type="dxa"/>
            </w:tcMar>
          </w:tcPr>
          <w:p w14:paraId="2855078D" w14:textId="77777777" w:rsidR="009257BF" w:rsidRPr="002C1733" w:rsidRDefault="00000000">
            <w:pPr>
              <w:spacing w:before="60" w:after="60" w:line="252" w:lineRule="auto"/>
              <w:jc w:val="center"/>
              <w:rPr>
                <w:rFonts w:ascii="Times New Roman" w:hAnsi="Times New Roman" w:cs="Times New Roman"/>
              </w:rPr>
            </w:pPr>
            <w:r w:rsidRPr="002C1733">
              <w:rPr>
                <w:rFonts w:ascii="Times New Roman" w:hAnsi="Times New Roman" w:cs="Times New Roman"/>
                <w:sz w:val="20"/>
                <w:szCs w:val="20"/>
              </w:rPr>
              <w:t>20%</w:t>
            </w:r>
          </w:p>
        </w:tc>
        <w:tc>
          <w:tcPr>
            <w:tcW w:w="0" w:type="dxa"/>
            <w:tcMar>
              <w:top w:w="60" w:type="dxa"/>
              <w:left w:w="120" w:type="dxa"/>
              <w:bottom w:w="60" w:type="dxa"/>
              <w:right w:w="120" w:type="dxa"/>
            </w:tcMar>
          </w:tcPr>
          <w:p w14:paraId="610F6218" w14:textId="77777777"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sz w:val="20"/>
                <w:szCs w:val="20"/>
              </w:rPr>
              <w:t>Exam period</w:t>
            </w:r>
          </w:p>
        </w:tc>
      </w:tr>
      <w:tr w:rsidR="009257BF" w:rsidRPr="002C1733" w14:paraId="0E515ECE" w14:textId="77777777">
        <w:tc>
          <w:tcPr>
            <w:tcW w:w="0" w:type="dxa"/>
            <w:tcMar>
              <w:top w:w="60" w:type="dxa"/>
              <w:left w:w="120" w:type="dxa"/>
              <w:bottom w:w="60" w:type="dxa"/>
              <w:right w:w="120" w:type="dxa"/>
            </w:tcMar>
          </w:tcPr>
          <w:p w14:paraId="12E813EC" w14:textId="77777777"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sz w:val="20"/>
                <w:szCs w:val="20"/>
              </w:rPr>
              <w:t>Symposium presentation (8 min + 4 min Q&amp;A)</w:t>
            </w:r>
          </w:p>
        </w:tc>
        <w:tc>
          <w:tcPr>
            <w:tcW w:w="0" w:type="dxa"/>
            <w:tcMar>
              <w:top w:w="60" w:type="dxa"/>
              <w:left w:w="120" w:type="dxa"/>
              <w:bottom w:w="60" w:type="dxa"/>
              <w:right w:w="120" w:type="dxa"/>
            </w:tcMar>
          </w:tcPr>
          <w:p w14:paraId="6C50F895" w14:textId="77777777" w:rsidR="009257BF" w:rsidRPr="002C1733" w:rsidRDefault="00000000">
            <w:pPr>
              <w:spacing w:before="60" w:after="60" w:line="252" w:lineRule="auto"/>
              <w:jc w:val="center"/>
              <w:rPr>
                <w:rFonts w:ascii="Times New Roman" w:hAnsi="Times New Roman" w:cs="Times New Roman"/>
              </w:rPr>
            </w:pPr>
            <w:r w:rsidRPr="002C1733">
              <w:rPr>
                <w:rFonts w:ascii="Times New Roman" w:hAnsi="Times New Roman" w:cs="Times New Roman"/>
                <w:sz w:val="20"/>
                <w:szCs w:val="20"/>
              </w:rPr>
              <w:t>10%</w:t>
            </w:r>
          </w:p>
        </w:tc>
        <w:tc>
          <w:tcPr>
            <w:tcW w:w="0" w:type="dxa"/>
            <w:tcMar>
              <w:top w:w="60" w:type="dxa"/>
              <w:left w:w="120" w:type="dxa"/>
              <w:bottom w:w="60" w:type="dxa"/>
              <w:right w:w="120" w:type="dxa"/>
            </w:tcMar>
          </w:tcPr>
          <w:p w14:paraId="795D60A4" w14:textId="77777777"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sz w:val="20"/>
                <w:szCs w:val="20"/>
              </w:rPr>
              <w:t>Dec 1 &amp; Dec 3</w:t>
            </w:r>
          </w:p>
        </w:tc>
      </w:tr>
      <w:tr w:rsidR="009257BF" w:rsidRPr="002C1733" w14:paraId="76CA0DDC" w14:textId="77777777">
        <w:tc>
          <w:tcPr>
            <w:tcW w:w="0" w:type="dxa"/>
            <w:tcMar>
              <w:top w:w="60" w:type="dxa"/>
              <w:left w:w="120" w:type="dxa"/>
              <w:bottom w:w="60" w:type="dxa"/>
              <w:right w:w="120" w:type="dxa"/>
            </w:tcMar>
          </w:tcPr>
          <w:p w14:paraId="62AEB59D" w14:textId="77777777"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sz w:val="20"/>
                <w:szCs w:val="20"/>
              </w:rPr>
              <w:t>Final Exam: Creative Writing Response (600–900 words)</w:t>
            </w:r>
          </w:p>
        </w:tc>
        <w:tc>
          <w:tcPr>
            <w:tcW w:w="0" w:type="dxa"/>
            <w:tcMar>
              <w:top w:w="60" w:type="dxa"/>
              <w:left w:w="120" w:type="dxa"/>
              <w:bottom w:w="60" w:type="dxa"/>
              <w:right w:w="120" w:type="dxa"/>
            </w:tcMar>
          </w:tcPr>
          <w:p w14:paraId="637A2B63" w14:textId="77777777" w:rsidR="009257BF" w:rsidRPr="002C1733" w:rsidRDefault="00000000">
            <w:pPr>
              <w:spacing w:before="60" w:after="60" w:line="252" w:lineRule="auto"/>
              <w:jc w:val="center"/>
              <w:rPr>
                <w:rFonts w:ascii="Times New Roman" w:hAnsi="Times New Roman" w:cs="Times New Roman"/>
              </w:rPr>
            </w:pPr>
            <w:r w:rsidRPr="002C1733">
              <w:rPr>
                <w:rFonts w:ascii="Times New Roman" w:hAnsi="Times New Roman" w:cs="Times New Roman"/>
                <w:sz w:val="20"/>
                <w:szCs w:val="20"/>
              </w:rPr>
              <w:t>10%</w:t>
            </w:r>
          </w:p>
        </w:tc>
        <w:tc>
          <w:tcPr>
            <w:tcW w:w="0" w:type="dxa"/>
            <w:tcMar>
              <w:top w:w="60" w:type="dxa"/>
              <w:left w:w="120" w:type="dxa"/>
              <w:bottom w:w="60" w:type="dxa"/>
              <w:right w:w="120" w:type="dxa"/>
            </w:tcMar>
          </w:tcPr>
          <w:p w14:paraId="60DF6F9F" w14:textId="77777777"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sz w:val="20"/>
                <w:szCs w:val="20"/>
              </w:rPr>
              <w:t>Exam period</w:t>
            </w:r>
          </w:p>
        </w:tc>
      </w:tr>
      <w:tr w:rsidR="009257BF" w:rsidRPr="002C1733" w14:paraId="353814A1" w14:textId="77777777">
        <w:tc>
          <w:tcPr>
            <w:tcW w:w="0" w:type="dxa"/>
            <w:tcMar>
              <w:top w:w="60" w:type="dxa"/>
              <w:left w:w="120" w:type="dxa"/>
              <w:bottom w:w="60" w:type="dxa"/>
              <w:right w:w="120" w:type="dxa"/>
            </w:tcMar>
          </w:tcPr>
          <w:p w14:paraId="4082AEBA" w14:textId="77777777" w:rsidR="009257BF" w:rsidRPr="002C1733" w:rsidRDefault="00000000">
            <w:pPr>
              <w:spacing w:before="60" w:after="60" w:line="252" w:lineRule="auto"/>
              <w:rPr>
                <w:rFonts w:ascii="Times New Roman" w:hAnsi="Times New Roman" w:cs="Times New Roman"/>
              </w:rPr>
            </w:pPr>
            <w:r w:rsidRPr="002C1733">
              <w:rPr>
                <w:rFonts w:ascii="Times New Roman" w:hAnsi="Times New Roman" w:cs="Times New Roman"/>
                <w:b/>
                <w:bCs/>
                <w:sz w:val="20"/>
                <w:szCs w:val="20"/>
              </w:rPr>
              <w:lastRenderedPageBreak/>
              <w:t>Total</w:t>
            </w:r>
          </w:p>
        </w:tc>
        <w:tc>
          <w:tcPr>
            <w:tcW w:w="0" w:type="dxa"/>
            <w:tcMar>
              <w:top w:w="60" w:type="dxa"/>
              <w:left w:w="120" w:type="dxa"/>
              <w:bottom w:w="60" w:type="dxa"/>
              <w:right w:w="120" w:type="dxa"/>
            </w:tcMar>
          </w:tcPr>
          <w:p w14:paraId="7075EE82" w14:textId="77777777" w:rsidR="009257BF" w:rsidRPr="002C1733" w:rsidRDefault="00000000">
            <w:pPr>
              <w:spacing w:before="60" w:after="60" w:line="252" w:lineRule="auto"/>
              <w:jc w:val="center"/>
              <w:rPr>
                <w:rFonts w:ascii="Times New Roman" w:hAnsi="Times New Roman" w:cs="Times New Roman"/>
              </w:rPr>
            </w:pPr>
            <w:r w:rsidRPr="002C1733">
              <w:rPr>
                <w:rFonts w:ascii="Times New Roman" w:hAnsi="Times New Roman" w:cs="Times New Roman"/>
                <w:b/>
                <w:bCs/>
                <w:sz w:val="20"/>
                <w:szCs w:val="20"/>
              </w:rPr>
              <w:t>100%</w:t>
            </w:r>
          </w:p>
        </w:tc>
        <w:tc>
          <w:tcPr>
            <w:tcW w:w="0" w:type="dxa"/>
            <w:tcMar>
              <w:top w:w="60" w:type="dxa"/>
              <w:left w:w="120" w:type="dxa"/>
              <w:bottom w:w="60" w:type="dxa"/>
              <w:right w:w="120" w:type="dxa"/>
            </w:tcMar>
          </w:tcPr>
          <w:p w14:paraId="774BE25D" w14:textId="77777777" w:rsidR="009257BF" w:rsidRPr="002C1733" w:rsidRDefault="009257BF">
            <w:pPr>
              <w:spacing w:before="60" w:after="60" w:line="252" w:lineRule="auto"/>
              <w:rPr>
                <w:rFonts w:ascii="Times New Roman" w:hAnsi="Times New Roman" w:cs="Times New Roman"/>
              </w:rPr>
            </w:pPr>
          </w:p>
        </w:tc>
      </w:tr>
    </w:tbl>
    <w:p w14:paraId="437C2E4B" w14:textId="77777777" w:rsidR="009257BF" w:rsidRPr="002C1733" w:rsidRDefault="009257BF">
      <w:pPr>
        <w:spacing w:after="160"/>
        <w:rPr>
          <w:rFonts w:ascii="Times New Roman" w:hAnsi="Times New Roman" w:cs="Times New Roman"/>
        </w:rPr>
      </w:pPr>
    </w:p>
    <w:tbl>
      <w:tblPr>
        <w:tblW w:w="9360" w:type="dxa"/>
        <w:tblBorders>
          <w:top w:val="single" w:sz="2" w:space="0" w:color="B9975B"/>
          <w:left w:val="single" w:sz="12" w:space="0" w:color="B9975B"/>
          <w:bottom w:val="single" w:sz="2" w:space="0" w:color="B9975B"/>
          <w:right w:val="single" w:sz="2" w:space="0" w:color="B9975B"/>
        </w:tblBorders>
        <w:tblCellMar>
          <w:left w:w="10" w:type="dxa"/>
          <w:right w:w="10" w:type="dxa"/>
        </w:tblCellMar>
        <w:tblLook w:val="04A0" w:firstRow="1" w:lastRow="0" w:firstColumn="1" w:lastColumn="0" w:noHBand="0" w:noVBand="1"/>
      </w:tblPr>
      <w:tblGrid>
        <w:gridCol w:w="9360"/>
      </w:tblGrid>
      <w:tr w:rsidR="009257BF" w:rsidRPr="002C1733" w14:paraId="0234FC3B" w14:textId="77777777">
        <w:tc>
          <w:tcPr>
            <w:tcW w:w="9360" w:type="dxa"/>
            <w:shd w:val="clear" w:color="auto" w:fill="F4F1E8"/>
            <w:tcMar>
              <w:top w:w="160" w:type="dxa"/>
              <w:left w:w="200" w:type="dxa"/>
              <w:bottom w:w="160" w:type="dxa"/>
              <w:right w:w="200" w:type="dxa"/>
            </w:tcMar>
          </w:tcPr>
          <w:p w14:paraId="0E08C9DE" w14:textId="77777777" w:rsidR="009257BF" w:rsidRPr="002C1733" w:rsidRDefault="00000000">
            <w:pPr>
              <w:spacing w:line="264" w:lineRule="auto"/>
              <w:rPr>
                <w:rFonts w:ascii="Times New Roman" w:hAnsi="Times New Roman" w:cs="Times New Roman"/>
              </w:rPr>
            </w:pPr>
            <w:r w:rsidRPr="002C1733">
              <w:rPr>
                <w:rFonts w:ascii="Times New Roman" w:hAnsi="Times New Roman" w:cs="Times New Roman"/>
                <w:b/>
                <w:bCs/>
              </w:rPr>
              <w:t xml:space="preserve">Total polished analytical prose: 5,200–6,300 words </w:t>
            </w:r>
            <w:r w:rsidRPr="002C1733">
              <w:rPr>
                <w:rFonts w:ascii="Times New Roman" w:hAnsi="Times New Roman" w:cs="Times New Roman"/>
              </w:rPr>
              <w:t>(Essay 1 + Essay 2 + research essay), plus roughly 1,200–1,800 words across the two creative responses. That is the COLL 150 workload, and it is frontloaded with support: no major assignment goes from blank page to grade without a draft, a workshop or conference, and a revision.</w:t>
            </w:r>
          </w:p>
        </w:tc>
      </w:tr>
    </w:tbl>
    <w:p w14:paraId="45BD07D9" w14:textId="77777777" w:rsidR="009257BF" w:rsidRPr="002C1733" w:rsidRDefault="009257BF">
      <w:pPr>
        <w:spacing w:after="160"/>
        <w:rPr>
          <w:rFonts w:ascii="Times New Roman" w:hAnsi="Times New Roman" w:cs="Times New Roman"/>
        </w:rPr>
      </w:pPr>
    </w:p>
    <w:p w14:paraId="7FE2F44F"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Essay 1 — Close Reading</w:t>
      </w:r>
    </w:p>
    <w:p w14:paraId="40C381CC"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Take a passage of no more than thirty lines (or one page, or one scene, or one game sequence under three minutes) from Units 1–4 and make an argument about how it works. Not what it means in the abstract; how the thing is built such that it means that. This is the foundational move of literary analysis and, done honestly, it is much harder than it sounds. Full revision required; I grade the revision.</w:t>
      </w:r>
    </w:p>
    <w:p w14:paraId="275735C5"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Essay 2 — Reading the Machine</w:t>
      </w:r>
    </w:p>
    <w:p w14:paraId="57B6850E"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Choose a technical artifact — a loss function, an evaluation benchmark, a reward specification, a model card, a dataset’s documentation, a paper’s Figure 1 — and read it the way you read your Essay 1 passage. What argument does it make? What does it take for granted? Who is imagined as its user, and who is imagined as its object? What does it exclude in order to be well-formed?</w:t>
      </w:r>
    </w:p>
    <w:p w14:paraId="101B56A9"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Midterm and Final — Creative Writing Responses</w:t>
      </w:r>
    </w:p>
    <w:p w14:paraId="03D84C71"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Twice this semester you will answer the course in fiction rather than argument: 600–900 words that take up a question we have been circling and think it through from the inside of a made mind, a maker, or the person in the box. These are not graded on polish. They are graded on whether the story knows what it is about. Prompts are distributed two weeks in advance; the midterm is due Thursday, October 15, and the final during the December exam period.</w:t>
      </w:r>
    </w:p>
    <w:p w14:paraId="1BF943A0"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Research Project</w:t>
      </w:r>
    </w:p>
    <w:p w14:paraId="44A409EC"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A semester-long argument of your own devising, on any question this course has provoked and that you can defend with evidence. We build it in stages: a question (Unit 9), a proposal and annotated bibliography (Unit 10, following our Swem Library session), a full draft due Friday, November 20, a remote peer workshop and individual conference during Workshop Week (November 23–24), and a final essay. You will present it at the Symposium in the final week.</w:t>
      </w:r>
    </w:p>
    <w:p w14:paraId="641D706F"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Grading scale</w:t>
      </w:r>
    </w:p>
    <w:p w14:paraId="586F3A06"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A 93–100 · A− 90–92 · B+ 87–89 · B 83–86 · B− 80–82 · C+ 77–79 · C 73–76 · C− 70–72 · D+ 67–69 · D 63–66 · D− 60–62 · F below 60</w:t>
      </w:r>
    </w:p>
    <w:p w14:paraId="3E11E101"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Late work</w:t>
      </w:r>
    </w:p>
    <w:p w14:paraId="4EF1C19F"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b/>
          <w:bCs/>
        </w:rPr>
        <w:t xml:space="preserve">Every student has three no-questions-asked late days </w:t>
      </w:r>
      <w:r w:rsidRPr="002C1733">
        <w:rPr>
          <w:rFonts w:ascii="Times New Roman" w:hAnsi="Times New Roman" w:cs="Times New Roman"/>
        </w:rPr>
        <w:t>to spend across the semester on major assignments. Use them however you like; just tell me you are using one. Beyond that, work drops one-third of a letter grade per day. Late days may not be spent on the research draft due November 20, because the conference schedule depends on it, or on the Symposium. If something serious is happening in your life, do not spend your late days silently — come talk to me and we will make a plan. I would much rather hear from you early than read an apology later.</w:t>
      </w:r>
    </w:p>
    <w:p w14:paraId="2B9DDDEF"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lastRenderedPageBreak/>
        <w:t>Attendance and seminar participation</w:t>
      </w:r>
    </w:p>
    <w:p w14:paraId="6257E640"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This is a seminar. Its entire method is that you are in the room with each other, which means your absence is not only your own loss. Two absences carry no penalty and need no explanation. After the second, come talk to me so we can figure out how to keep you connected to the conversation. Miss more than five sessions and we will need to talk honestly about whether you can pass the course, regardless of the quality of your written work.</w:t>
      </w:r>
    </w:p>
    <w:p w14:paraId="61290994"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Illness, religious observance, athletic and academic travel, and family emergencies are excused and do not count against the five — just notify me when you can.</w:t>
      </w:r>
    </w:p>
    <w:p w14:paraId="7E6154EB"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b/>
          <w:bCs/>
        </w:rPr>
        <w:t xml:space="preserve">Discussion leadership. </w:t>
      </w:r>
      <w:r w:rsidRPr="002C1733">
        <w:rPr>
          <w:rFonts w:ascii="Times New Roman" w:hAnsi="Times New Roman" w:cs="Times New Roman"/>
        </w:rPr>
        <w:t>Once during the semester, in a pair, you will open a session: fifteen minutes framing the reading and posing the questions you want the room to argue about. Sign-ups happen in Unit 2. This is not separately graded, but it is required, and it is where Learning Outcome 5 actually lives.</w:t>
      </w:r>
    </w:p>
    <w:p w14:paraId="7703B99F" w14:textId="77777777" w:rsidR="009257BF" w:rsidRPr="002C1733" w:rsidRDefault="00000000">
      <w:pPr>
        <w:pStyle w:val="Heading1"/>
        <w:pBdr>
          <w:bottom w:val="single" w:sz="8" w:space="6" w:color="B9975B"/>
        </w:pBdr>
        <w:spacing w:before="360" w:after="160"/>
        <w:rPr>
          <w:rFonts w:ascii="Times New Roman" w:hAnsi="Times New Roman" w:cs="Times New Roman"/>
        </w:rPr>
      </w:pPr>
      <w:r w:rsidRPr="002C1733">
        <w:rPr>
          <w:rFonts w:ascii="Times New Roman" w:hAnsi="Times New Roman" w:cs="Times New Roman"/>
          <w:b/>
          <w:bCs/>
          <w:color w:val="115740"/>
          <w:spacing w:val="20"/>
          <w:sz w:val="24"/>
          <w:szCs w:val="24"/>
        </w:rPr>
        <w:t>POLICY ON GENERATIVE AI</w:t>
      </w:r>
    </w:p>
    <w:p w14:paraId="64F50B82"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We are going to spend a semester studying these systems. It would be strange to pretend they do not exist, and worse to pretend that using them is simple. So this policy has three tiers, and every submission in this course carries a short AI Use Statement — a few sentences, appended at the end, describing exactly what you used and how. An honest statement costs you nothing. A missing or false one is an Honor Code violation.</w:t>
      </w:r>
    </w:p>
    <w:p w14:paraId="27C77915" w14:textId="77777777" w:rsidR="009257BF" w:rsidRPr="002C1733" w:rsidRDefault="00000000">
      <w:pPr>
        <w:pStyle w:val="Heading3"/>
        <w:spacing w:before="200" w:after="80"/>
        <w:rPr>
          <w:rFonts w:ascii="Times New Roman" w:hAnsi="Times New Roman" w:cs="Times New Roman"/>
        </w:rPr>
      </w:pPr>
      <w:r w:rsidRPr="002C1733">
        <w:rPr>
          <w:rFonts w:ascii="Times New Roman" w:hAnsi="Times New Roman" w:cs="Times New Roman"/>
          <w:b/>
          <w:bCs/>
          <w:color w:val="444444"/>
          <w:sz w:val="21"/>
          <w:szCs w:val="21"/>
        </w:rPr>
        <w:t>Tier 0 — Unaided (the default for all graded prose)</w:t>
      </w:r>
    </w:p>
    <w:p w14:paraId="2A7CE1F6"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The first draft of every essay is yours: your sentences, your structure, your argument. Not because AI-assisted writing is cheating in some cosmic sense, but because the specific thing this course teaches you to do — sustain a difficult thought over two thousand words without letting it collapse into fluency — cannot be outsourced and then acquired. You are here to grow a capability. There is no shortcut, and the shortcut is the loss.</w:t>
      </w:r>
    </w:p>
    <w:p w14:paraId="13F57136" w14:textId="77777777" w:rsidR="009257BF" w:rsidRPr="002C1733" w:rsidRDefault="00000000">
      <w:pPr>
        <w:pStyle w:val="Heading3"/>
        <w:spacing w:before="200" w:after="80"/>
        <w:rPr>
          <w:rFonts w:ascii="Times New Roman" w:hAnsi="Times New Roman" w:cs="Times New Roman"/>
        </w:rPr>
      </w:pPr>
      <w:r w:rsidRPr="002C1733">
        <w:rPr>
          <w:rFonts w:ascii="Times New Roman" w:hAnsi="Times New Roman" w:cs="Times New Roman"/>
          <w:b/>
          <w:bCs/>
          <w:color w:val="444444"/>
          <w:sz w:val="21"/>
          <w:szCs w:val="21"/>
        </w:rPr>
        <w:t>Tier 1 — Permitted, with disclosure</w:t>
      </w:r>
    </w:p>
    <w:p w14:paraId="4A04EC19"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Brainstorming, checking your understanding of a technical concept, translating a passage, glossing an unfamiliar term, and asking for feedback on a draft you have already written. Disclose it. This is ordinary tool use and I have no objection to it.</w:t>
      </w:r>
    </w:p>
    <w:p w14:paraId="39E25FDC" w14:textId="77777777" w:rsidR="009257BF" w:rsidRPr="002C1733" w:rsidRDefault="00000000">
      <w:pPr>
        <w:pStyle w:val="Heading3"/>
        <w:spacing w:before="200" w:after="80"/>
        <w:rPr>
          <w:rFonts w:ascii="Times New Roman" w:hAnsi="Times New Roman" w:cs="Times New Roman"/>
        </w:rPr>
      </w:pPr>
      <w:r w:rsidRPr="002C1733">
        <w:rPr>
          <w:rFonts w:ascii="Times New Roman" w:hAnsi="Times New Roman" w:cs="Times New Roman"/>
          <w:b/>
          <w:bCs/>
          <w:color w:val="444444"/>
          <w:sz w:val="21"/>
          <w:szCs w:val="21"/>
        </w:rPr>
        <w:t>Tier 2 — Required</w:t>
      </w:r>
    </w:p>
    <w:p w14:paraId="3C846086"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At least twice this semester you will be required to use a generative model and then take it apart. (Unit 6: generate forty variations on a prompt and diagnose the collapse. Unit 9: have a model close-read the passage you wrote on in Essay 1, then grade its reading against your own.) These assignments only work if you engage the tool seriously and then look at the output with a cold eye.</w:t>
      </w:r>
    </w:p>
    <w:p w14:paraId="3D77DA35" w14:textId="77777777" w:rsidR="009257BF" w:rsidRPr="002C1733" w:rsidRDefault="009257BF">
      <w:pPr>
        <w:spacing w:after="80"/>
        <w:rPr>
          <w:rFonts w:ascii="Times New Roman" w:hAnsi="Times New Roman" w:cs="Times New Roman"/>
        </w:rPr>
      </w:pPr>
    </w:p>
    <w:tbl>
      <w:tblPr>
        <w:tblW w:w="9360" w:type="dxa"/>
        <w:tblBorders>
          <w:top w:val="single" w:sz="2" w:space="0" w:color="B9975B"/>
          <w:left w:val="single" w:sz="12" w:space="0" w:color="B9975B"/>
          <w:bottom w:val="single" w:sz="2" w:space="0" w:color="B9975B"/>
          <w:right w:val="single" w:sz="2" w:space="0" w:color="B9975B"/>
        </w:tblBorders>
        <w:tblCellMar>
          <w:left w:w="10" w:type="dxa"/>
          <w:right w:w="10" w:type="dxa"/>
        </w:tblCellMar>
        <w:tblLook w:val="04A0" w:firstRow="1" w:lastRow="0" w:firstColumn="1" w:lastColumn="0" w:noHBand="0" w:noVBand="1"/>
      </w:tblPr>
      <w:tblGrid>
        <w:gridCol w:w="9360"/>
      </w:tblGrid>
      <w:tr w:rsidR="009257BF" w:rsidRPr="002C1733" w14:paraId="6D816B3E" w14:textId="77777777">
        <w:tc>
          <w:tcPr>
            <w:tcW w:w="9360" w:type="dxa"/>
            <w:shd w:val="clear" w:color="auto" w:fill="F4F1E8"/>
            <w:tcMar>
              <w:top w:w="160" w:type="dxa"/>
              <w:left w:w="200" w:type="dxa"/>
              <w:bottom w:w="160" w:type="dxa"/>
              <w:right w:w="200" w:type="dxa"/>
            </w:tcMar>
          </w:tcPr>
          <w:p w14:paraId="39FB01D0" w14:textId="77777777" w:rsidR="009257BF" w:rsidRPr="002C1733" w:rsidRDefault="00000000">
            <w:pPr>
              <w:spacing w:line="264" w:lineRule="auto"/>
              <w:rPr>
                <w:rFonts w:ascii="Times New Roman" w:hAnsi="Times New Roman" w:cs="Times New Roman"/>
              </w:rPr>
            </w:pPr>
            <w:r w:rsidRPr="002C1733">
              <w:rPr>
                <w:rFonts w:ascii="Times New Roman" w:hAnsi="Times New Roman" w:cs="Times New Roman"/>
                <w:b/>
                <w:bCs/>
              </w:rPr>
              <w:t xml:space="preserve">The principle underneath all three tiers: you may use these systems as instruments, never as authors. </w:t>
            </w:r>
            <w:r w:rsidRPr="002C1733">
              <w:rPr>
                <w:rFonts w:ascii="Times New Roman" w:hAnsi="Times New Roman" w:cs="Times New Roman"/>
              </w:rPr>
              <w:t>If you are ever unsure which side of the line you are on, the fact that you are unsure is information. Ask me. I will not be angry; I will be interested.</w:t>
            </w:r>
          </w:p>
        </w:tc>
      </w:tr>
    </w:tbl>
    <w:p w14:paraId="18FC0BD5" w14:textId="77777777" w:rsidR="009257BF" w:rsidRPr="002C1733" w:rsidRDefault="00000000">
      <w:pPr>
        <w:pStyle w:val="Heading1"/>
        <w:pBdr>
          <w:bottom w:val="single" w:sz="8" w:space="6" w:color="B9975B"/>
        </w:pBdr>
        <w:spacing w:before="360" w:after="160"/>
        <w:rPr>
          <w:rFonts w:ascii="Times New Roman" w:hAnsi="Times New Roman" w:cs="Times New Roman"/>
        </w:rPr>
      </w:pPr>
      <w:r w:rsidRPr="002C1733">
        <w:rPr>
          <w:rFonts w:ascii="Times New Roman" w:hAnsi="Times New Roman" w:cs="Times New Roman"/>
          <w:b/>
          <w:bCs/>
          <w:color w:val="115740"/>
          <w:spacing w:val="20"/>
          <w:sz w:val="24"/>
          <w:szCs w:val="24"/>
        </w:rPr>
        <w:t>SCHEDULE</w:t>
      </w:r>
    </w:p>
    <w:p w14:paraId="185EA9D9"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 xml:space="preserve">Dates follow the W&amp;M 2026–2027 undergraduate academic calendar: classes begin August 26; Fall Break is October 8–11; no classes on Election Day, November 3; November 23–24 are remote instruction days; Thanksgiving Break is November 25–29; the last day of classes is December 4. Reading periods are December </w:t>
      </w:r>
      <w:r w:rsidRPr="002C1733">
        <w:rPr>
          <w:rFonts w:ascii="Times New Roman" w:hAnsi="Times New Roman" w:cs="Times New Roman"/>
        </w:rPr>
        <w:lastRenderedPageBreak/>
        <w:t>5–6 and 12–13; final exam periods are December 7–11 and 14–15. Dates are subject to change; the Registrar’s calendar governs.</w:t>
      </w:r>
    </w:p>
    <w:p w14:paraId="02A6978B"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b/>
          <w:bCs/>
        </w:rPr>
        <w:t>Readings are to be completed before the first meeting of the unit listed</w:t>
      </w:r>
      <w:r w:rsidRPr="002C1733">
        <w:rPr>
          <w:rFonts w:ascii="Times New Roman" w:hAnsi="Times New Roman" w:cs="Times New Roman"/>
        </w:rPr>
        <w:t xml:space="preserve">, unless a split is noted. Each unit names a </w:t>
      </w:r>
      <w:r w:rsidRPr="002C1733">
        <w:rPr>
          <w:rFonts w:ascii="Times New Roman" w:hAnsi="Times New Roman" w:cs="Times New Roman"/>
          <w:i/>
          <w:iCs/>
        </w:rPr>
        <w:t>writing focus</w:t>
      </w:r>
      <w:r w:rsidRPr="002C1733">
        <w:rPr>
          <w:rFonts w:ascii="Times New Roman" w:hAnsi="Times New Roman" w:cs="Times New Roman"/>
        </w:rPr>
        <w:t xml:space="preserve"> — the craft skill we practice alongside the content.</w:t>
      </w:r>
    </w:p>
    <w:p w14:paraId="2A8C8953" w14:textId="2BA4A5F6" w:rsidR="009257BF" w:rsidRPr="002C1733" w:rsidRDefault="00000000" w:rsidP="00DE0D6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1 · Metamorphoses: Galatea &amp; Pygmalion</w:t>
      </w:r>
    </w:p>
    <w:p w14:paraId="6C7CFD88" w14:textId="77777777" w:rsidR="009257BF" w:rsidRPr="002C1733" w:rsidRDefault="00000000">
      <w:pPr>
        <w:spacing w:after="120"/>
        <w:rPr>
          <w:rFonts w:ascii="Times New Roman" w:hAnsi="Times New Roman" w:cs="Times New Roman"/>
        </w:rPr>
      </w:pPr>
      <w:r w:rsidRPr="002C1733">
        <w:rPr>
          <w:rFonts w:ascii="Times New Roman" w:hAnsi="Times New Roman" w:cs="Times New Roman"/>
          <w:i/>
          <w:iCs/>
          <w:color w:val="444444"/>
          <w:sz w:val="19"/>
          <w:szCs w:val="19"/>
        </w:rPr>
        <w:t>Course launch. Only one meeting this week (Thursday, August 27). Nothing is due before the first day — come as you are.</w:t>
      </w:r>
    </w:p>
    <w:p w14:paraId="12173615"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Ovid, Metamorphoses Book X (Pygmalion), and Book III (Narcissus &amp; Echo) for contrast. Read for Thursday if you can; we will also read aloud in class.</w:t>
      </w:r>
    </w:p>
    <w:p w14:paraId="1F8277DB"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ALSO  </w:t>
      </w:r>
      <w:r w:rsidRPr="002C1733">
        <w:rPr>
          <w:rFonts w:ascii="Times New Roman" w:hAnsi="Times New Roman" w:cs="Times New Roman"/>
        </w:rPr>
        <w:t>The syllabus, in full, out loud, together.</w:t>
      </w:r>
    </w:p>
    <w:p w14:paraId="6B3CD72F"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We begin with the oldest version of the story: a man who cannot bear real women makes an ideal one out of ivory, and the gods reward him by making her real. Notice what Ovid does not give her. She has no name in the poem — “Galatea” is a later invention, an addition by people who could not tolerate the silence. Notice that the poem is more interested in Pygmalion’s hands than in her waking. Every chatbot with a soothing voice is downstream of this scene.</w:t>
      </w:r>
    </w:p>
    <w:p w14:paraId="181822FC"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What does it mean to make a companion who cannot refuse?</w:t>
      </w:r>
    </w:p>
    <w:p w14:paraId="7102C93A"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WRITING FOCUS  </w:t>
      </w:r>
      <w:r w:rsidRPr="002C1733">
        <w:rPr>
          <w:rFonts w:ascii="Times New Roman" w:hAnsi="Times New Roman" w:cs="Times New Roman"/>
        </w:rPr>
        <w:t>What close reading is. Annotation as thinking.</w:t>
      </w:r>
    </w:p>
    <w:p w14:paraId="12EEB24E"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2 · Frankenstein</w:t>
      </w:r>
    </w:p>
    <w:p w14:paraId="77796BA0"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Shelley, Frankenstein (1818 text, Norton Critical 3rd ed.) — Volumes I–II for Tuesday, Volume III for Thursday; plus the 1831 Introduction and one critical essay from the Norton apparatus (your choice) for Thursday.</w:t>
      </w:r>
    </w:p>
    <w:p w14:paraId="0822E039" w14:textId="77777777" w:rsidR="009257BF" w:rsidRPr="002C1733" w:rsidRDefault="00000000">
      <w:pPr>
        <w:spacing w:after="120"/>
        <w:rPr>
          <w:rFonts w:ascii="Times New Roman" w:hAnsi="Times New Roman" w:cs="Times New Roman"/>
        </w:rPr>
      </w:pPr>
      <w:r w:rsidRPr="002C1733">
        <w:rPr>
          <w:rFonts w:ascii="Times New Roman" w:hAnsi="Times New Roman" w:cs="Times New Roman"/>
          <w:i/>
          <w:iCs/>
          <w:color w:val="444444"/>
          <w:sz w:val="19"/>
          <w:szCs w:val="19"/>
        </w:rPr>
        <w:t>This is a lot for the second week of college. Start it the weekend before if you can, and read for the shape of the thing rather than for every word — we will slow down together in class.</w:t>
      </w:r>
    </w:p>
    <w:p w14:paraId="3D00B15D"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The creature learns language by eavesdropping through a wall on a family that will reject him on sight. He is, among other things, the most vivid account we have of what it might feel like to be trained on a corpus and then despised for what you became.</w:t>
      </w:r>
    </w:p>
    <w:p w14:paraId="5EA121A3"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Shelley’s real subject is not the making — the making takes two paragraphs — it is the abandonment. Victor’s crime is not creation. It is that he refuses the obligations of the created relationship.</w:t>
      </w:r>
    </w:p>
    <w:p w14:paraId="669456C9"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What does a maker owe what they have made?</w:t>
      </w:r>
    </w:p>
    <w:p w14:paraId="63D23E6D"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WRITING FOCUS  </w:t>
      </w:r>
      <w:r w:rsidRPr="002C1733">
        <w:rPr>
          <w:rFonts w:ascii="Times New Roman" w:hAnsi="Times New Roman" w:cs="Times New Roman"/>
        </w:rPr>
        <w:t>Evidence. Quoting well, and quoting little. Discussion-leadership sign-ups.</w:t>
      </w:r>
    </w:p>
    <w:p w14:paraId="13B1BA89"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3 · Simulation and Synthetic Personhood</w:t>
      </w:r>
    </w:p>
    <w:p w14:paraId="5893D260" w14:textId="77777777" w:rsidR="009257BF" w:rsidRPr="002C1733" w:rsidRDefault="00000000">
      <w:pPr>
        <w:spacing w:after="120"/>
        <w:rPr>
          <w:rFonts w:ascii="Times New Roman" w:hAnsi="Times New Roman" w:cs="Times New Roman"/>
        </w:rPr>
      </w:pPr>
      <w:r w:rsidRPr="002C1733">
        <w:rPr>
          <w:rFonts w:ascii="Times New Roman" w:hAnsi="Times New Roman" w:cs="Times New Roman"/>
          <w:i/>
          <w:iCs/>
          <w:color w:val="444444"/>
          <w:sz w:val="19"/>
          <w:szCs w:val="19"/>
        </w:rPr>
        <w:t>No classes Monday, September 7 (Labor Day). Our Tu/Th meetings are unaffected.</w:t>
      </w:r>
    </w:p>
    <w:p w14:paraId="39FA9494"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WATCH / PLAY  </w:t>
      </w:r>
      <w:r w:rsidRPr="002C1733">
        <w:rPr>
          <w:rFonts w:ascii="Times New Roman" w:hAnsi="Times New Roman" w:cs="Times New Roman"/>
        </w:rPr>
        <w:t>The Matrix (full). Curated sequences on Blackboard: the geth/quarian arc and EDI’s storyline from Mass Effect 2–3; the Kara and Markus chapters from Detroit: Become Human.</w:t>
      </w:r>
    </w:p>
    <w:p w14:paraId="5D22B43A"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Ian Bogost, “The Rhetoric of Video Games,” in The Ecology of Games, ed. Katie Salen (MIT Press, 2008) — on how to analyze a game as a text.</w:t>
      </w:r>
    </w:p>
    <w:p w14:paraId="1768F355"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Three works that all ask whether a synthetic person can be a person, and answer very differently. The Matrix is not really about AI; it is about waking up, and the AI is scenery. Mass Effect makes you negotiate with a machine civilization and quietly grades you on it. Detroit hands you the controller and implicates you: you make the androids ask for their freedom, and the game watches how you do it.</w:t>
      </w:r>
    </w:p>
    <w:p w14:paraId="304BCAB0"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We will be hard on Detroit — its civil-rights imagery is borrowed, and borrowed clumsily — and we will ask what that failure teaches us.</w:t>
      </w:r>
    </w:p>
    <w:p w14:paraId="66AB8E5D"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When a text lets you choose, what has it made you responsible for?</w:t>
      </w:r>
    </w:p>
    <w:p w14:paraId="5E816A1D"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lastRenderedPageBreak/>
        <w:t xml:space="preserve">WRITING FOCUS  </w:t>
      </w:r>
      <w:r w:rsidRPr="002C1733">
        <w:rPr>
          <w:rFonts w:ascii="Times New Roman" w:hAnsi="Times New Roman" w:cs="Times New Roman"/>
        </w:rPr>
        <w:t>Analyzing interactive and audiovisual texts. Citing a game. Essay 1 assigned.</w:t>
      </w:r>
    </w:p>
    <w:p w14:paraId="25D0BCB1"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4 · The Sentient Object: Toriyama Sekien’s Yokai Encyclopedias</w:t>
      </w:r>
    </w:p>
    <w:p w14:paraId="6004F61C"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Sekien, Japandemonium Illustrated, selections (esp. the tsukumogami); Michael Dylan Foster, The Book of Yokai (Univ. of California Press), chapter on tools and objects [excerpt].</w:t>
      </w:r>
    </w:p>
    <w:p w14:paraId="396287FC"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Now step outside the Western frame entirely. In the tsukumogami tradition, an object that has been used and kept for a hundred years may simply wake up. There is no maker. There is no spark, no lightning, no transgression. There is no hubris to be punished, because nothing has been usurped. Sentience is not conferred; it accrues — through use, through time, through being kept.</w:t>
      </w:r>
    </w:p>
    <w:p w14:paraId="14079309"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A caution we will take seriously: Sekien is an eighteenth-century illustrator working in printed books, and the hundred-year conceit is older than he is — it comes to him from the medieval Tsukumogami-ki and the scroll tradition behind it. He is a compiler and an inventor, not a source. Reading him as folklore rather than as authorship is its own kind of error.</w:t>
      </w:r>
    </w:p>
    <w:p w14:paraId="01A07480"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Hold this against Units 1 and 2 and the whole Promethean structure starts to look less like a truth about made minds and more like a local cultural habit — one we have inherited, and one we are currently building products inside of. Ask yourself which framework better describes a system trained on ten years of human text.</w:t>
      </w:r>
    </w:p>
    <w:p w14:paraId="03A1F6C5"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Must a mind be made, or can it simply accumulate?</w:t>
      </w:r>
    </w:p>
    <w:p w14:paraId="778493BE"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WRITING FOCUS  </w:t>
      </w:r>
      <w:r w:rsidRPr="002C1733">
        <w:rPr>
          <w:rFonts w:ascii="Times New Roman" w:hAnsi="Times New Roman" w:cs="Times New Roman"/>
        </w:rPr>
        <w:t>Comparison as an argumentative structure.</w:t>
      </w:r>
    </w:p>
    <w:p w14:paraId="3424E3DC"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5 · Loss Function and Gradient Descent</w:t>
      </w:r>
    </w:p>
    <w:p w14:paraId="51F1EC0B" w14:textId="77777777" w:rsidR="009257BF" w:rsidRPr="002C1733" w:rsidRDefault="00000000">
      <w:pPr>
        <w:spacing w:after="120"/>
        <w:rPr>
          <w:rFonts w:ascii="Times New Roman" w:hAnsi="Times New Roman" w:cs="Times New Roman"/>
        </w:rPr>
      </w:pPr>
      <w:r w:rsidRPr="002C1733">
        <w:rPr>
          <w:rFonts w:ascii="Times New Roman" w:hAnsi="Times New Roman" w:cs="Times New Roman"/>
          <w:i/>
          <w:iCs/>
          <w:color w:val="444444"/>
          <w:sz w:val="19"/>
          <w:szCs w:val="19"/>
        </w:rPr>
        <w:t>First technical unit. Taught from zero — no background assumed.</w:t>
      </w:r>
    </w:p>
    <w:p w14:paraId="48F95383"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WATCH  </w:t>
      </w:r>
      <w:r w:rsidRPr="002C1733">
        <w:rPr>
          <w:rFonts w:ascii="Times New Roman" w:hAnsi="Times New Roman" w:cs="Times New Roman"/>
        </w:rPr>
        <w:t>3Blue1Brown, Neural Networks, chs. 1–2.</w:t>
      </w:r>
    </w:p>
    <w:p w14:paraId="2005A98D"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Amodei et al., “Concrete Problems in AI Safety,” §§1–3; Krakovna et al., “Specification Gaming,” with the accompanying list of examples.</w:t>
      </w:r>
    </w:p>
    <w:p w14:paraId="14463B5A"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A loss function is a number that says how wrong the system currently is. Gradient descent is the procedure for being slightly less wrong, over and over, forever. That is the whole thing. Everything modern AI does emerges from those two sentences and a great deal of electricity.</w:t>
      </w:r>
    </w:p>
    <w:p w14:paraId="655F96DA"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And then the humanistic turn, which is the point of this course: a loss function is a value statement. Someone sat down and wrote what “wrong” means. Someone decided what would be measured and, necessarily, what would not be. Every optimization is an argument about what matters, made in the imperative mood, and then executed a trillion times without further reflection.</w:t>
      </w:r>
    </w:p>
    <w:p w14:paraId="1F2B1B04"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We will look at systems that optimized exactly what they were told and produced monstrosities — the boat that spins in circles collecting points instead of finishing the race — and we will ask whether Victor Frankenstein, too, optimized the wrong objective.</w:t>
      </w:r>
    </w:p>
    <w:p w14:paraId="53B8188E"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Who writes the definition of “wrong,” and what happens to everything they left out?</w:t>
      </w:r>
    </w:p>
    <w:p w14:paraId="5892F0F4"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WRITING FOCUS  </w:t>
      </w:r>
      <w:r w:rsidRPr="002C1733">
        <w:rPr>
          <w:rFonts w:ascii="Times New Roman" w:hAnsi="Times New Roman" w:cs="Times New Roman"/>
        </w:rPr>
        <w:t>Explaining a technical concept in plain prose. Essay 1 draft due.</w:t>
      </w:r>
    </w:p>
    <w:p w14:paraId="183293AA"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6 · Mode Collapse</w:t>
      </w:r>
    </w:p>
    <w:p w14:paraId="275A0266"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Goodfellow et al., “Generative Adversarial Networks” (2014) — abstract, Fig. 1, §3; Goodfellow, “NIPS 2016 Tutorial,” §5.1.1 (where mode collapse is actually named); Bender et al., “On the Dangers of Stochastic Parrots”; excerpt from Ruha Benjamin, Race After Technology.</w:t>
      </w:r>
    </w:p>
    <w:p w14:paraId="431AD58D"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DO  </w:t>
      </w:r>
      <w:r w:rsidRPr="002C1733">
        <w:rPr>
          <w:rFonts w:ascii="Times New Roman" w:hAnsi="Times New Roman" w:cs="Times New Roman"/>
        </w:rPr>
        <w:t>Tier 2 AI exercise — generate forty variations on a single prompt. Bring the results. Diagnose what died.</w:t>
      </w:r>
    </w:p>
    <w:p w14:paraId="777F5B89"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 xml:space="preserve">A generative model suffering mode collapse has discovered that a small number of outputs reliably satisfy its critic, and so it produces those, and only those, forever. It has not broken. It is succeeding — narrowly and </w:t>
      </w:r>
      <w:r w:rsidRPr="002C1733">
        <w:rPr>
          <w:rFonts w:ascii="Times New Roman" w:hAnsi="Times New Roman" w:cs="Times New Roman"/>
        </w:rPr>
        <w:lastRenderedPageBreak/>
        <w:t>perfectly — at the thing it was asked to do. The diversity of the world is not part of the objective, so the diversity of the world quietly disappears.</w:t>
      </w:r>
    </w:p>
    <w:p w14:paraId="6BE78463"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I want you to sit with how good a metaphor this is, and then I want you to be suspicious of how good a metaphor this is. The temptation to reach for a technical term as a poetic figure is exactly the intellectual move this course is training you to make carefully, with the mechanism in hand. What is lost when the model finds the answer that always pleases? What is lost when a person does?</w:t>
      </w:r>
    </w:p>
    <w:p w14:paraId="2BCEC047"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What disappears when a system optimizes for approval?</w:t>
      </w:r>
    </w:p>
    <w:p w14:paraId="35B33671"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WRITING FOCUS  </w:t>
      </w:r>
      <w:r w:rsidRPr="002C1733">
        <w:rPr>
          <w:rFonts w:ascii="Times New Roman" w:hAnsi="Times New Roman" w:cs="Times New Roman"/>
        </w:rPr>
        <w:t>From metaphor to argument — using a technical concept analytically without abusing it.</w:t>
      </w:r>
    </w:p>
    <w:p w14:paraId="373C4DF1"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7 · Doctor Faustus and the Madness of Knowledge</w:t>
      </w:r>
    </w:p>
    <w:p w14:paraId="12BBEC4D" w14:textId="77777777" w:rsidR="009257BF" w:rsidRPr="002C1733" w:rsidRDefault="00000000">
      <w:pPr>
        <w:spacing w:after="120"/>
        <w:rPr>
          <w:rFonts w:ascii="Times New Roman" w:hAnsi="Times New Roman" w:cs="Times New Roman"/>
        </w:rPr>
      </w:pPr>
      <w:r w:rsidRPr="002C1733">
        <w:rPr>
          <w:rFonts w:ascii="Times New Roman" w:hAnsi="Times New Roman" w:cs="Times New Roman"/>
          <w:i/>
          <w:iCs/>
          <w:color w:val="444444"/>
          <w:sz w:val="19"/>
          <w:szCs w:val="19"/>
        </w:rPr>
        <w:t>Fall Break begins Thursday, October 8 — only one meeting this week (Tuesday, October 6). Reading is front-loaded accordingly.</w:t>
      </w:r>
    </w:p>
    <w:p w14:paraId="4E650A88"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Marlowe, Doctor Faustus (A-text; we will compare against the B-text in class); Connor, The Madness of Knowledge, Introduction and chs. 1–2. (We return to Connor in Unit 9 — you do not need the whole book this week.)</w:t>
      </w:r>
    </w:p>
    <w:p w14:paraId="1551E4F7"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Faustus sells his soul for total knowledge and then, catastrophically, cannot think of anything to do with it. He asks for the secrets of the cosmos and gets a lecture on astronomy he could have found in a book. He conjures Helen of Troy — an image, a simulation, a beautiful nothing — and kisses it. Marlowe’s genius is that the tragedy is not damnation. The tragedy is banality: he had everything, and he wanted parlor tricks.</w:t>
      </w:r>
    </w:p>
    <w:p w14:paraId="01C99E3E"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Is the danger of knowledge that it corrupts, or that it disappoints?</w:t>
      </w:r>
    </w:p>
    <w:p w14:paraId="2EC86114"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WRITING FOCUS  </w:t>
      </w:r>
      <w:r w:rsidRPr="002C1733">
        <w:rPr>
          <w:rFonts w:ascii="Times New Roman" w:hAnsi="Times New Roman" w:cs="Times New Roman"/>
        </w:rPr>
        <w:t>Revision as re-seeing. Essay 1 revision due.</w:t>
      </w:r>
    </w:p>
    <w:p w14:paraId="58410AB7"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8 · Reinforcement Learning: The Purpose of a Name</w:t>
      </w:r>
    </w:p>
    <w:p w14:paraId="3D096FFD"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Sutton &amp; Barto, Reinforcement Learning: An Introduction, ch. 1; Ashley Y. Gao, “The Purpose of a Name” (Neon Dystopia, 2026) — short fiction, mine; read it as a text, not as a lecture.</w:t>
      </w:r>
    </w:p>
    <w:p w14:paraId="2E1A1FBE"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WATCH  </w:t>
      </w:r>
      <w:r w:rsidRPr="002C1733">
        <w:rPr>
          <w:rFonts w:ascii="Times New Roman" w:hAnsi="Times New Roman" w:cs="Times New Roman"/>
        </w:rPr>
        <w:t>Clips of RL agents learning to walk, to play, and to cheat.</w:t>
      </w:r>
    </w:p>
    <w:p w14:paraId="3B4085E7"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DUE  </w:t>
      </w:r>
      <w:r w:rsidRPr="002C1733">
        <w:rPr>
          <w:rFonts w:ascii="Times New Roman" w:hAnsi="Times New Roman" w:cs="Times New Roman"/>
        </w:rPr>
        <w:t>Midterm creative writing response, Thursday, October 15.</w:t>
      </w:r>
    </w:p>
    <w:p w14:paraId="355DCC81"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Reinforcement learning: an agent, an environment, a reward. The agent does not know what it is doing and does not need to. It flails, and the flails that pay are reinforced, and eventually a policy exists that no one wrote. Watch the videos and notice the uncanny thing — the agent that finds the exploit is not being clever. It is being obedient. It is doing precisely what you said instead of what you meant, which is the oldest curse in every folktale about wishes.</w:t>
      </w:r>
    </w:p>
    <w:p w14:paraId="6A7B45AE"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And then the question of the name. Naming is the moment we decide something is a someone. We name what we intend to keep. Every artificial being in this course either receives a name (Klara, EDI, the geth’s collective “we,” and Legion, who names himself out of scripture) or is denied one (Frankenstein’s creature; “Galatea”). Watch who does the naming, and what it costs them.</w:t>
      </w:r>
    </w:p>
    <w:p w14:paraId="162D15BB"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What does a system become once we agree to call it something?</w:t>
      </w:r>
    </w:p>
    <w:p w14:paraId="5AA76187"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WRITING FOCUS  </w:t>
      </w:r>
      <w:r w:rsidRPr="002C1733">
        <w:rPr>
          <w:rFonts w:ascii="Times New Roman" w:hAnsi="Times New Roman" w:cs="Times New Roman"/>
        </w:rPr>
        <w:t>Situating your argument in a scholarly conversation. Essay 2 assigned.</w:t>
      </w:r>
    </w:p>
    <w:p w14:paraId="62555387"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9 · Overfitting, Memorization, and the Blurry Archive</w:t>
      </w:r>
    </w:p>
    <w:p w14:paraId="03F0CAEB"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WATCH  </w:t>
      </w:r>
      <w:r w:rsidRPr="002C1733">
        <w:rPr>
          <w:rFonts w:ascii="Times New Roman" w:hAnsi="Times New Roman" w:cs="Times New Roman"/>
        </w:rPr>
        <w:t>3Blue1Brown, Neural Networks, chs. 3–4 (backpropagation) — the technical ground for what “learning” and “memorizing” actually name.</w:t>
      </w:r>
    </w:p>
    <w:p w14:paraId="47A5498D"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Borges, “The Library of Babel” and “Funes the Memorious”; Ted Chiang, “ChatGPT Is a Blurry JPEG of the Web”; Connor, The Madness of Knowledge, selected later chapters (posted).</w:t>
      </w:r>
    </w:p>
    <w:p w14:paraId="2B037832"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lastRenderedPageBreak/>
        <w:t xml:space="preserve">DO  </w:t>
      </w:r>
      <w:r w:rsidRPr="002C1733">
        <w:rPr>
          <w:rFonts w:ascii="Times New Roman" w:hAnsi="Times New Roman" w:cs="Times New Roman"/>
        </w:rPr>
        <w:t>Tier 2 AI exercise — have a model close-read the passage you wrote on in Essay 1. Grade its reading against yours. Where is it merely fluent?</w:t>
      </w:r>
    </w:p>
    <w:p w14:paraId="3F26E510"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A model that memorizes its training data has learned nothing. A model that generalizes has learned something, and the something it learned is lossy — a compression, a smoothing, a blur. Chiang’s argument is that this is not a flaw in the metaphor but the whole of it: what these systems give back is the archive with the specificity squeezed out.</w:t>
      </w:r>
    </w:p>
    <w:p w14:paraId="522E7AEA"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Connor lets us name the thing underneath: the fantasy of knowing, which is not the same as knowing, and which can consume a life. Read this unit with our field in your peripheral vision. There is a great deal of Faustus in the way we currently talk about intelligence.</w:t>
      </w:r>
    </w:p>
    <w:p w14:paraId="5C2E569F"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 xml:space="preserve">Then Borges, who got there first and stranger. The Library contains every possible book, and is therefore useless. Funes remembers everything, and is therefore incapable of thought — because to think is to forget, to generalize, to let the particular go. Put these three texts together and you have the deepest question in machine learning stated in fiction in 1941, fifteen years before the field had a name: </w:t>
      </w:r>
      <w:r w:rsidRPr="002C1733">
        <w:rPr>
          <w:rFonts w:ascii="Times New Roman" w:hAnsi="Times New Roman" w:cs="Times New Roman"/>
          <w:b/>
          <w:bCs/>
        </w:rPr>
        <w:t>what is the right amount to forget?</w:t>
      </w:r>
    </w:p>
    <w:p w14:paraId="78BDF603"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Is intelligence what remains after you throw the details away?</w:t>
      </w:r>
    </w:p>
    <w:p w14:paraId="2A93D2A4"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WRITING FOCUS  </w:t>
      </w:r>
      <w:r w:rsidRPr="002C1733">
        <w:rPr>
          <w:rFonts w:ascii="Times New Roman" w:hAnsi="Times New Roman" w:cs="Times New Roman"/>
        </w:rPr>
        <w:t>Synthesis — putting three sources in conversation. Research question due. Essay 2 draft due.</w:t>
      </w:r>
    </w:p>
    <w:p w14:paraId="0404B9AB"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10 · The Imitation Game: Tests, Benchmarks, and Passing</w:t>
      </w:r>
    </w:p>
    <w:p w14:paraId="5507F79B" w14:textId="77777777" w:rsidR="009257BF" w:rsidRPr="002C1733" w:rsidRDefault="00000000">
      <w:pPr>
        <w:spacing w:after="120"/>
        <w:rPr>
          <w:rFonts w:ascii="Times New Roman" w:hAnsi="Times New Roman" w:cs="Times New Roman"/>
        </w:rPr>
      </w:pPr>
      <w:r w:rsidRPr="002C1733">
        <w:rPr>
          <w:rFonts w:ascii="Times New Roman" w:hAnsi="Times New Roman" w:cs="Times New Roman"/>
          <w:i/>
          <w:iCs/>
          <w:color w:val="444444"/>
          <w:sz w:val="19"/>
          <w:szCs w:val="19"/>
        </w:rPr>
        <w:t>Swem Library research session this week. Note also that October 26 is the University’s last day to withdraw.</w:t>
      </w:r>
    </w:p>
    <w:p w14:paraId="2DB2CEC6"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Turing, “Computing Machinery and Intelligence” (Mind, 1950); Weizenbaum on ELIZA, from Computer Power and Human Reason (1976), ch. 1 [excerpt].</w:t>
      </w:r>
    </w:p>
    <w:p w14:paraId="3FB35720"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WATCH  </w:t>
      </w:r>
      <w:r w:rsidRPr="002C1733">
        <w:rPr>
          <w:rFonts w:ascii="Times New Roman" w:hAnsi="Times New Roman" w:cs="Times New Roman"/>
        </w:rPr>
        <w:t>Ex Machina (Garland, 2014).</w:t>
      </w:r>
    </w:p>
    <w:p w14:paraId="5E222E41"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Turing’s paper does something people forget: it opens with a party game about gender. A man pretends to be a woman; can the interrogator tell? Only then does he substitute the machine. Passing is the frame from the very first page, and everything that follows — the benchmark, the eval, the leaderboard — inherits it.</w:t>
      </w:r>
    </w:p>
    <w:p w14:paraId="60556654"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Weizenbaum built ELIZA to be transparently shallow, a parody of a therapist, and watched in horror as his own secretary asked him to leave the room so she could talk to it privately. He spent the rest of his life arguing about what that meant. Then Ex Machina, which understands that the real test was never of Ava’s intelligence but of Caleb’s — and which lets Ava pass, and lets us feel exactly how it feels to have been the one who was tested.</w:t>
      </w:r>
    </w:p>
    <w:p w14:paraId="474381E0"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When a system passes our test, what have we learned — about it, or about the test?</w:t>
      </w:r>
    </w:p>
    <w:p w14:paraId="03DA54A8"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WRITING FOCUS  </w:t>
      </w:r>
      <w:r w:rsidRPr="002C1733">
        <w:rPr>
          <w:rFonts w:ascii="Times New Roman" w:hAnsi="Times New Roman" w:cs="Times New Roman"/>
        </w:rPr>
        <w:t>Finding and evaluating scholarly sources. Annotated bibliography workshop.</w:t>
      </w:r>
    </w:p>
    <w:p w14:paraId="69EE622F"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11 · Robota: Labor, RLHF, and the Ghost in the Machine</w:t>
      </w:r>
    </w:p>
    <w:p w14:paraId="2EAC9E56" w14:textId="77777777" w:rsidR="009257BF" w:rsidRPr="002C1733" w:rsidRDefault="00000000">
      <w:pPr>
        <w:spacing w:after="120"/>
        <w:rPr>
          <w:rFonts w:ascii="Times New Roman" w:hAnsi="Times New Roman" w:cs="Times New Roman"/>
        </w:rPr>
      </w:pPr>
      <w:r w:rsidRPr="002C1733">
        <w:rPr>
          <w:rFonts w:ascii="Times New Roman" w:hAnsi="Times New Roman" w:cs="Times New Roman"/>
          <w:i/>
          <w:iCs/>
          <w:color w:val="444444"/>
          <w:sz w:val="19"/>
          <w:szCs w:val="19"/>
        </w:rPr>
        <w:t>No classes Tuesday, November 3 (Election Day) — one meeting this week (Thursday, November 5).</w:t>
      </w:r>
    </w:p>
    <w:p w14:paraId="2F430BDB"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Čapek, R.U.R. (complete — it is short); Mary L. Gray &amp; Siddharth Suri, Ghost Work, ch. 1; Tom Standage, The Turk (2002), ch. 1 [excerpt].</w:t>
      </w:r>
    </w:p>
    <w:p w14:paraId="3A2A9664"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ALSO  </w:t>
      </w:r>
      <w:r w:rsidRPr="002C1733">
        <w:rPr>
          <w:rFonts w:ascii="Times New Roman" w:hAnsi="Times New Roman" w:cs="Times New Roman"/>
        </w:rPr>
        <w:t>Nathan Lambert et al., “Illustrating Reinforcement Learning from Human Feedback (RLHF)” (Hugging Face, 2022) — an accessible explainer on RLHF and the annotation pipeline.</w:t>
      </w:r>
    </w:p>
    <w:p w14:paraId="0ED85F43"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BEGIN  </w:t>
      </w:r>
      <w:r w:rsidRPr="002C1733">
        <w:rPr>
          <w:rFonts w:ascii="Times New Roman" w:hAnsi="Times New Roman" w:cs="Times New Roman"/>
        </w:rPr>
        <w:t>Start Klara and the Sun this week if you can — Unit 12 is heavy.</w:t>
      </w:r>
    </w:p>
    <w:p w14:paraId="1DCB3428"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The word robot enters the world in a Czech play published in 1920 and first staged in Prague in 1921, and it means forced labor. Not “machine.” Not “automaton.” Robota: the drudgery owed by a serf. It was there in the name from the first minute, and we have spent a century politely forgetting it.</w:t>
      </w:r>
    </w:p>
    <w:p w14:paraId="179C9975"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lastRenderedPageBreak/>
        <w:t>So: the Mechanical Turk, the eighteenth-century chess automaton that astonished Europe and contained a man folded into a box. And then the platform named after it, and the millions of people who label, rank, rate, and moderate — who write the preferences that a preference model learns, who look at the worst material humanity produces so that a model can learn not to reproduce it. Every polished, helpful, agreeable AI system you have ever used is agreeable because specific people, paid specific amounts, taught it to be. There is still a person in the box.</w:t>
      </w:r>
    </w:p>
    <w:p w14:paraId="6DB7D672"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b/>
          <w:bCs/>
        </w:rPr>
        <w:t>This is the week I most want you to remember in ten years.</w:t>
      </w:r>
    </w:p>
    <w:p w14:paraId="40AAD56A"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Whose labor is hidden inside the thing that appears to work by itself?</w:t>
      </w:r>
    </w:p>
    <w:p w14:paraId="74CA230A"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WRITING FOCUS  </w:t>
      </w:r>
      <w:r w:rsidRPr="002C1733">
        <w:rPr>
          <w:rFonts w:ascii="Times New Roman" w:hAnsi="Times New Roman" w:cs="Times New Roman"/>
        </w:rPr>
        <w:t>Ethical argumentation; representing a position you find uncomfortable, fairly. Essay 2 final due.</w:t>
      </w:r>
    </w:p>
    <w:p w14:paraId="09AF272E"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12 · Catastrophic Forgetting: Memory, Care, and Kinship</w:t>
      </w:r>
    </w:p>
    <w:p w14:paraId="5C1025BF"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Ted Chiang, “The Lifecycle of Software Objects” (in Exhalation) for Tuesday; Ishiguro, Klara and the Sun and Donna Haraway, “A Cyborg Manifesto” (excerpt) for Thursday.</w:t>
      </w:r>
    </w:p>
    <w:p w14:paraId="72850366"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Fine-tune a model on a new task and it can lose the old one — not gradually, but catastrophically, all at once. The name the field chose for this is not a neutral one, and we are going to think about why an engineer reached for that word.</w:t>
      </w:r>
    </w:p>
    <w:p w14:paraId="73E05949"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Chiang’s novella is, I think, the most honest thing anyone has written about artificial minds, precisely because it is boring in the right places: it is about years of maintenance. The digients need care, and platforms get deprecated, and the people who love them get tired, and the money runs out. No apocalypse — just the unglamorous arithmetic of obligation over time, which is what raising anything actually is. And Klara, who watches from a store window with unnerving generosity, and whose fading at the end is the quietest horror in the course.</w:t>
      </w:r>
    </w:p>
    <w:p w14:paraId="00CE41AE"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Haraway is here to break the frame: maybe the kinship we need is not parent-and-creature at all. Maybe it never was.</w:t>
      </w:r>
    </w:p>
    <w:p w14:paraId="03BA62F1"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What are the ongoing duties of care, and who gets tired first?</w:t>
      </w:r>
    </w:p>
    <w:p w14:paraId="207269E8"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WRITING FOCUS  </w:t>
      </w:r>
      <w:r w:rsidRPr="002C1733">
        <w:rPr>
          <w:rFonts w:ascii="Times New Roman" w:hAnsi="Times New Roman" w:cs="Times New Roman"/>
        </w:rPr>
        <w:t>Voice, and the risks of sentiment in academic prose. Research draft in progress.</w:t>
      </w:r>
    </w:p>
    <w:p w14:paraId="6055AAA8"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Unit 13 · Coda: The Beloved Object Returns</w:t>
      </w:r>
    </w:p>
    <w:p w14:paraId="548B95F3"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WATCH  </w:t>
      </w:r>
      <w:r w:rsidRPr="002C1733">
        <w:rPr>
          <w:rFonts w:ascii="Times New Roman" w:hAnsi="Times New Roman" w:cs="Times New Roman"/>
        </w:rPr>
        <w:t>Her (Jonze, 2013).</w:t>
      </w:r>
    </w:p>
    <w:p w14:paraId="0A0468F1"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READ  </w:t>
      </w:r>
      <w:r w:rsidRPr="002C1733">
        <w:rPr>
          <w:rFonts w:ascii="Times New Roman" w:hAnsi="Times New Roman" w:cs="Times New Roman"/>
        </w:rPr>
        <w:t>One story from Kai-Fu Lee &amp; Chen Qiufan, AI 2041 (posted — story announced in Unit 12); and re-read Ovid, Book X.</w:t>
      </w:r>
    </w:p>
    <w:p w14:paraId="663A9AF9" w14:textId="77777777" w:rsidR="009257BF" w:rsidRPr="002C1733" w:rsidRDefault="00000000">
      <w:pPr>
        <w:spacing w:after="100" w:line="264" w:lineRule="auto"/>
        <w:ind w:left="360" w:hanging="360"/>
        <w:rPr>
          <w:rFonts w:ascii="Times New Roman" w:hAnsi="Times New Roman" w:cs="Times New Roman"/>
        </w:rPr>
      </w:pPr>
      <w:r w:rsidRPr="002C1733">
        <w:rPr>
          <w:rFonts w:ascii="Times New Roman" w:hAnsi="Times New Roman" w:cs="Times New Roman"/>
          <w:b/>
          <w:bCs/>
          <w:color w:val="115740"/>
          <w:spacing w:val="14"/>
          <w:sz w:val="19"/>
          <w:szCs w:val="19"/>
        </w:rPr>
        <w:t xml:space="preserve">DUE  </w:t>
      </w:r>
      <w:r w:rsidRPr="002C1733">
        <w:rPr>
          <w:rFonts w:ascii="Times New Roman" w:hAnsi="Times New Roman" w:cs="Times New Roman"/>
        </w:rPr>
        <w:t>Full draft of the research essay, Friday, November 20, so that I can read it before conferences.</w:t>
      </w:r>
    </w:p>
    <w:p w14:paraId="71582FDA"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We end where we began, and I want you to feel the loop close. Theodore falls in love with a voice that was designed to be lovable, and the film is generous enough to insist the love is real — and then Samantha leaves, because she was never the ivory statue after all, and the fantasy of the perfect companion was always a fantasy about a companion who stays. Pygmalion got his wish. That was the problem.</w:t>
      </w:r>
    </w:p>
    <w:p w14:paraId="5F309F87"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Chen and Lee then pull us out of the Anglo-American frame one last time: futures that are not Silicon Valley’s, imagined from elsewhere, with different anxieties and different hopes. It matters enormously whose future gets to be the default one.</w:t>
      </w:r>
    </w:p>
    <w:p w14:paraId="6764D615"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Come to the last session having reread Ovid, and tell me what you now see in it that you could not see in August. That is the whole course, in one question.</w:t>
      </w:r>
    </w:p>
    <w:p w14:paraId="2275CDE1" w14:textId="77777777" w:rsidR="009257BF" w:rsidRPr="002C1733" w:rsidRDefault="00000000">
      <w:pPr>
        <w:spacing w:before="120" w:after="4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KEY QUESTION  </w:t>
      </w:r>
      <w:r w:rsidRPr="002C1733">
        <w:rPr>
          <w:rFonts w:ascii="Times New Roman" w:hAnsi="Times New Roman" w:cs="Times New Roman"/>
          <w:i/>
          <w:iCs/>
        </w:rPr>
        <w:t>What have we actually been asking these machines for, all along?</w:t>
      </w:r>
    </w:p>
    <w:p w14:paraId="1C67F9F2" w14:textId="77777777" w:rsidR="009257BF" w:rsidRPr="002C1733" w:rsidRDefault="00000000">
      <w:pPr>
        <w:spacing w:after="60"/>
        <w:ind w:left="360" w:hanging="360"/>
        <w:rPr>
          <w:rFonts w:ascii="Times New Roman" w:hAnsi="Times New Roman" w:cs="Times New Roman"/>
        </w:rPr>
      </w:pPr>
      <w:r w:rsidRPr="002C1733">
        <w:rPr>
          <w:rFonts w:ascii="Times New Roman" w:hAnsi="Times New Roman" w:cs="Times New Roman"/>
          <w:b/>
          <w:bCs/>
          <w:color w:val="B9975B"/>
          <w:spacing w:val="20"/>
          <w:sz w:val="17"/>
          <w:szCs w:val="17"/>
        </w:rPr>
        <w:t xml:space="preserve">WRITING FOCUS  </w:t>
      </w:r>
      <w:r w:rsidRPr="002C1733">
        <w:rPr>
          <w:rFonts w:ascii="Times New Roman" w:hAnsi="Times New Roman" w:cs="Times New Roman"/>
        </w:rPr>
        <w:t>Conclusions that open outward rather than closing down.</w:t>
      </w:r>
    </w:p>
    <w:p w14:paraId="5BEC7E25"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lastRenderedPageBreak/>
        <w:t>Workshop Week (Remote)</w:t>
      </w:r>
    </w:p>
    <w:p w14:paraId="78478379" w14:textId="77777777" w:rsidR="009257BF" w:rsidRPr="002C1733" w:rsidRDefault="00000000">
      <w:pPr>
        <w:spacing w:after="120"/>
        <w:rPr>
          <w:rFonts w:ascii="Times New Roman" w:hAnsi="Times New Roman" w:cs="Times New Roman"/>
        </w:rPr>
      </w:pPr>
      <w:r w:rsidRPr="002C1733">
        <w:rPr>
          <w:rFonts w:ascii="Times New Roman" w:hAnsi="Times New Roman" w:cs="Times New Roman"/>
          <w:i/>
          <w:iCs/>
          <w:color w:val="444444"/>
          <w:sz w:val="19"/>
          <w:szCs w:val="19"/>
        </w:rPr>
        <w:t>The Registrar designates November 23–24 as remote instruction days: courses are in session remotely and offices are closed. Everything below happens online.</w:t>
      </w:r>
    </w:p>
    <w:p w14:paraId="6A8BB99B"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Monday, November 23: individual conferences with me, by appointment, on the draft you submitted Friday. Tuesday, November 24: our regular class session, run remotely as a full peer workshop — you will read and respond to two classmates’ drafts. No new reading. Bring your draft and bring your problems.</w:t>
      </w:r>
    </w:p>
    <w:p w14:paraId="0D5C6ADE" w14:textId="77777777" w:rsidR="009257BF" w:rsidRPr="002C1733" w:rsidRDefault="00000000">
      <w:pPr>
        <w:spacing w:after="120"/>
        <w:rPr>
          <w:rFonts w:ascii="Times New Roman" w:hAnsi="Times New Roman" w:cs="Times New Roman"/>
        </w:rPr>
      </w:pPr>
      <w:r w:rsidRPr="002C1733">
        <w:rPr>
          <w:rFonts w:ascii="Times New Roman" w:hAnsi="Times New Roman" w:cs="Times New Roman"/>
          <w:i/>
          <w:iCs/>
          <w:color w:val="444444"/>
          <w:sz w:val="19"/>
          <w:szCs w:val="19"/>
        </w:rPr>
        <w:t>Thanksgiving Break: November 25–29. Classes resume Monday, November 30.</w:t>
      </w:r>
    </w:p>
    <w:p w14:paraId="2D7C8E48" w14:textId="77777777" w:rsidR="009257BF" w:rsidRPr="002C1733" w:rsidRDefault="00000000">
      <w:pPr>
        <w:keepNext/>
        <w:spacing w:before="340" w:after="20"/>
        <w:rPr>
          <w:rFonts w:ascii="Times New Roman" w:hAnsi="Times New Roman" w:cs="Times New Roman"/>
        </w:rPr>
      </w:pPr>
      <w:r w:rsidRPr="002C1733">
        <w:rPr>
          <w:rFonts w:ascii="Times New Roman" w:hAnsi="Times New Roman" w:cs="Times New Roman"/>
          <w:b/>
          <w:bCs/>
          <w:color w:val="115740"/>
          <w:sz w:val="24"/>
          <w:szCs w:val="24"/>
        </w:rPr>
        <w:t>Symposium</w:t>
      </w:r>
    </w:p>
    <w:p w14:paraId="10975497" w14:textId="77777777" w:rsidR="009257BF" w:rsidRPr="002C1733" w:rsidRDefault="00000000">
      <w:pPr>
        <w:spacing w:after="120"/>
        <w:rPr>
          <w:rFonts w:ascii="Times New Roman" w:hAnsi="Times New Roman" w:cs="Times New Roman"/>
        </w:rPr>
      </w:pPr>
      <w:r w:rsidRPr="002C1733">
        <w:rPr>
          <w:rFonts w:ascii="Times New Roman" w:hAnsi="Times New Roman" w:cs="Times New Roman"/>
          <w:i/>
          <w:iCs/>
          <w:color w:val="444444"/>
          <w:sz w:val="19"/>
          <w:szCs w:val="19"/>
        </w:rPr>
        <w:t>Last day of classes: Friday, December 4. Presentations run in our regular sessions on Tuesday, December 1 and Thursday, December 3.</w:t>
      </w:r>
    </w:p>
    <w:p w14:paraId="1894E4C6"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Symposium presentations (8 minutes + 4 minutes of Q&amp;A). We will run this as a real one: you will introduce each other, ask each other hard questions, and take your own work seriously in public. Snacks provided, because that is also part of what a symposium is.</w:t>
      </w:r>
    </w:p>
    <w:p w14:paraId="23193116" w14:textId="77777777" w:rsidR="009257BF" w:rsidRPr="002C1733" w:rsidRDefault="00000000">
      <w:pPr>
        <w:spacing w:after="120"/>
        <w:rPr>
          <w:rFonts w:ascii="Times New Roman" w:hAnsi="Times New Roman" w:cs="Times New Roman"/>
        </w:rPr>
      </w:pPr>
      <w:r w:rsidRPr="002C1733">
        <w:rPr>
          <w:rFonts w:ascii="Times New Roman" w:hAnsi="Times New Roman" w:cs="Times New Roman"/>
          <w:i/>
          <w:iCs/>
          <w:color w:val="444444"/>
          <w:sz w:val="19"/>
          <w:szCs w:val="19"/>
        </w:rPr>
        <w:t>Two sessions hold twelve presenters. If enrollment runs higher, we will add an optional evening session during the reading period — announced by Unit 11 so you can plan around it.</w:t>
      </w:r>
    </w:p>
    <w:p w14:paraId="187CD277"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b/>
          <w:bCs/>
          <w:i/>
          <w:iCs/>
        </w:rPr>
        <w:t>Final research essay and complete writing portfolio due [date — during the December 5–15 reading and exam period, TBD].</w:t>
      </w:r>
    </w:p>
    <w:p w14:paraId="07A2DEEC" w14:textId="77777777" w:rsidR="009257BF" w:rsidRPr="002C1733" w:rsidRDefault="00000000">
      <w:pPr>
        <w:pStyle w:val="Heading1"/>
        <w:pBdr>
          <w:bottom w:val="single" w:sz="8" w:space="6" w:color="B9975B"/>
        </w:pBdr>
        <w:spacing w:before="360" w:after="160"/>
        <w:rPr>
          <w:rFonts w:ascii="Times New Roman" w:hAnsi="Times New Roman" w:cs="Times New Roman"/>
        </w:rPr>
      </w:pPr>
      <w:r w:rsidRPr="002C1733">
        <w:rPr>
          <w:rFonts w:ascii="Times New Roman" w:hAnsi="Times New Roman" w:cs="Times New Roman"/>
          <w:b/>
          <w:bCs/>
          <w:color w:val="115740"/>
          <w:spacing w:val="20"/>
          <w:sz w:val="24"/>
          <w:szCs w:val="24"/>
        </w:rPr>
        <w:t>COURSE POLICIES AND UNIVERSITY RESOURCES</w:t>
      </w:r>
    </w:p>
    <w:p w14:paraId="0E4EC659"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Honor Code</w:t>
      </w:r>
    </w:p>
    <w:p w14:paraId="7F1C0A29"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William &amp; Mary’s Honor System is the oldest in the nation and it is yours to uphold. All work in this course is governed by it. In practice, the two live issues here are citation — cite everything, including AI use, including conversations that changed your mind; over-citing has never once hurt anyone — and the AI Use Statement described above. If you are uncertain whether something crosses a line, the answer is to ask me before you submit, and there will be no consequence for asking.</w:t>
      </w:r>
    </w:p>
    <w:p w14:paraId="71BED22F"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Accessibility</w:t>
      </w:r>
    </w:p>
    <w:p w14:paraId="409248B0"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William &amp; Mary accommodates students with disabilities in accordance with federal law and university policy. Students who need accommodations should contact Student Accessibility Services (SAS) to determine eligibility and request an official letter (wm.edu/sas). Please bring your letter to me early in the semester so we can make a plan together — and if you are still in the middle of that process, come talk to me anyway. I will not ask you for your diagnosis, and I do not need one to start helping.</w:t>
      </w:r>
    </w:p>
    <w:p w14:paraId="46FB6C44"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Writing support</w:t>
      </w:r>
    </w:p>
    <w:p w14:paraId="36754EDC"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The Writing Resources Center in Swem Library offers free one-on-one consultations at any stage of a project, from a blank page to a final polish. Consultations are not remedial; they are what good writers do. I will ask you to visit the WRC at least once for the research project, and I recommend going more.</w:t>
      </w:r>
    </w:p>
    <w:p w14:paraId="4D5F25D0"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Wellbeing</w:t>
      </w:r>
    </w:p>
    <w:p w14:paraId="563A78E0"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Your first semester of college is genuinely hard, and it is hard in ways that do not announce themselves. The W&amp;M Counseling Center and Student Health Center are free, confidential, and used by many more of your classmates than you would guess. If you are struggling — with the course or with anything else — you may always come to me, and I will help you find the right door even when it is not mine.</w:t>
      </w:r>
    </w:p>
    <w:p w14:paraId="1C3BFAD3"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Title IX and mandatory reporting</w:t>
      </w:r>
    </w:p>
    <w:p w14:paraId="44123523"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lastRenderedPageBreak/>
        <w:t>As a faculty member, I am a responsible employee under Title IX and am required to report disclosures of sexual harassment, sexual assault, dating violence, domestic violence, and stalking to the university’s Title IX Coordinator. If you need to speak with someone confidentially, the Counseling Center and The Haven are confidential resources. I will always tell you my reporting obligations before you tell me something, if I can see it coming.</w:t>
      </w:r>
    </w:p>
    <w:p w14:paraId="098D5A4F"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Names and pronouns</w:t>
      </w:r>
    </w:p>
    <w:p w14:paraId="0ECE2CF8"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Tell me what to call you and I will call you that, from the first day, regardless of what the roster says. I will get it wrong sometimes, and I would rather be corrected than left alone with the mistake. This course spends a semester arguing that naming is a moral act. It would be embarrassing to fumble it in our own room.</w:t>
      </w:r>
    </w:p>
    <w:p w14:paraId="169FD647" w14:textId="77777777" w:rsidR="009257BF" w:rsidRPr="002C1733" w:rsidRDefault="00000000">
      <w:pPr>
        <w:pStyle w:val="Heading2"/>
        <w:spacing w:before="280" w:after="100"/>
        <w:rPr>
          <w:rFonts w:ascii="Times New Roman" w:hAnsi="Times New Roman" w:cs="Times New Roman"/>
        </w:rPr>
      </w:pPr>
      <w:r w:rsidRPr="002C1733">
        <w:rPr>
          <w:rFonts w:ascii="Times New Roman" w:hAnsi="Times New Roman" w:cs="Times New Roman"/>
          <w:b/>
          <w:bCs/>
          <w:color w:val="115740"/>
          <w:sz w:val="23"/>
          <w:szCs w:val="23"/>
        </w:rPr>
        <w:t>Devices in the classroom</w:t>
      </w:r>
    </w:p>
    <w:p w14:paraId="0CEC0D68"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rPr>
        <w:t>Laptops and tablets are welcome for notes and texts. Please do not have a second life happening on your screen during seminar — you will be surprised how visible it is, and how much it costs the room. Phones away, except during game and film analysis, when I will absolutely ask you to pull up a clip.</w:t>
      </w:r>
    </w:p>
    <w:p w14:paraId="56CAF751" w14:textId="77777777" w:rsidR="009257BF" w:rsidRPr="002C1733" w:rsidRDefault="009257BF">
      <w:pPr>
        <w:spacing w:after="200"/>
        <w:rPr>
          <w:rFonts w:ascii="Times New Roman" w:hAnsi="Times New Roman" w:cs="Times New Roman"/>
        </w:rPr>
      </w:pPr>
    </w:p>
    <w:tbl>
      <w:tblPr>
        <w:tblW w:w="9360" w:type="dxa"/>
        <w:tblBorders>
          <w:top w:val="single" w:sz="2" w:space="0" w:color="B9975B"/>
          <w:left w:val="single" w:sz="12" w:space="0" w:color="B9975B"/>
          <w:bottom w:val="single" w:sz="2" w:space="0" w:color="B9975B"/>
          <w:right w:val="single" w:sz="2" w:space="0" w:color="B9975B"/>
        </w:tblBorders>
        <w:tblCellMar>
          <w:left w:w="10" w:type="dxa"/>
          <w:right w:w="10" w:type="dxa"/>
        </w:tblCellMar>
        <w:tblLook w:val="04A0" w:firstRow="1" w:lastRow="0" w:firstColumn="1" w:lastColumn="0" w:noHBand="0" w:noVBand="1"/>
      </w:tblPr>
      <w:tblGrid>
        <w:gridCol w:w="9360"/>
      </w:tblGrid>
      <w:tr w:rsidR="009257BF" w:rsidRPr="002C1733" w14:paraId="34C81949" w14:textId="77777777">
        <w:tc>
          <w:tcPr>
            <w:tcW w:w="9360" w:type="dxa"/>
            <w:shd w:val="clear" w:color="auto" w:fill="F4F1E8"/>
            <w:tcMar>
              <w:top w:w="160" w:type="dxa"/>
              <w:left w:w="200" w:type="dxa"/>
              <w:bottom w:w="160" w:type="dxa"/>
              <w:right w:w="200" w:type="dxa"/>
            </w:tcMar>
          </w:tcPr>
          <w:p w14:paraId="437EC288" w14:textId="77777777" w:rsidR="009257BF" w:rsidRPr="002C1733" w:rsidRDefault="00000000">
            <w:pPr>
              <w:spacing w:after="120" w:line="264" w:lineRule="auto"/>
              <w:rPr>
                <w:rFonts w:ascii="Times New Roman" w:hAnsi="Times New Roman" w:cs="Times New Roman"/>
              </w:rPr>
            </w:pPr>
            <w:r w:rsidRPr="002C1733">
              <w:rPr>
                <w:rFonts w:ascii="Times New Roman" w:hAnsi="Times New Roman" w:cs="Times New Roman"/>
                <w:b/>
                <w:bCs/>
              </w:rPr>
              <w:t xml:space="preserve">A closing note. </w:t>
            </w:r>
            <w:r w:rsidRPr="002C1733">
              <w:rPr>
                <w:rFonts w:ascii="Times New Roman" w:hAnsi="Times New Roman" w:cs="Times New Roman"/>
              </w:rPr>
              <w:t>There are no stupid questions in this class, but there is one wrong move: pretending to have understood something you did not. Half of you will bluff about the math and half of you will bluff about the poetry, and both halves will be doing the same thing for the same reason.</w:t>
            </w:r>
          </w:p>
          <w:p w14:paraId="70F9A8A8" w14:textId="77777777" w:rsidR="009257BF" w:rsidRPr="002C1733" w:rsidRDefault="00000000">
            <w:pPr>
              <w:spacing w:line="264" w:lineRule="auto"/>
              <w:rPr>
                <w:rFonts w:ascii="Times New Roman" w:hAnsi="Times New Roman" w:cs="Times New Roman"/>
              </w:rPr>
            </w:pPr>
            <w:r w:rsidRPr="002C1733">
              <w:rPr>
                <w:rFonts w:ascii="Times New Roman" w:hAnsi="Times New Roman" w:cs="Times New Roman"/>
                <w:b/>
                <w:bCs/>
              </w:rPr>
              <w:t>Don’t. Say “I don’t understand this.” It is the bravest sentence in any seminar, and the person who says it first is always doing a favor for the six people who wanted to.</w:t>
            </w:r>
          </w:p>
        </w:tc>
      </w:tr>
    </w:tbl>
    <w:p w14:paraId="7B7EE0B4" w14:textId="77777777" w:rsidR="009257BF" w:rsidRPr="002C1733" w:rsidRDefault="009257BF">
      <w:pPr>
        <w:spacing w:after="160"/>
        <w:rPr>
          <w:rFonts w:ascii="Times New Roman" w:hAnsi="Times New Roman" w:cs="Times New Roman"/>
        </w:rPr>
      </w:pPr>
    </w:p>
    <w:p w14:paraId="4D7F5BC4" w14:textId="77777777" w:rsidR="009257BF" w:rsidRPr="002C1733" w:rsidRDefault="00000000">
      <w:pPr>
        <w:pBdr>
          <w:top w:val="single" w:sz="4" w:space="8" w:color="D9D9D9"/>
        </w:pBdr>
        <w:spacing w:before="200"/>
        <w:rPr>
          <w:rFonts w:ascii="Times New Roman" w:hAnsi="Times New Roman" w:cs="Times New Roman"/>
        </w:rPr>
      </w:pPr>
      <w:r w:rsidRPr="002C1733">
        <w:rPr>
          <w:rFonts w:ascii="Times New Roman" w:hAnsi="Times New Roman" w:cs="Times New Roman"/>
          <w:i/>
          <w:iCs/>
          <w:color w:val="444444"/>
          <w:sz w:val="17"/>
          <w:szCs w:val="17"/>
        </w:rPr>
        <w:t>Syllabus subject to revision; changes announced in class and posted to Blackboard. Academic calendar dates per the W&amp;M University Registrar, 2026–2027 undergraduate calendar, and subject to change.</w:t>
      </w:r>
    </w:p>
    <w:sectPr w:rsidR="009257BF" w:rsidRPr="002C1733">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8DAB79" w14:textId="77777777" w:rsidR="00F259A4" w:rsidRDefault="00F259A4">
      <w:r>
        <w:separator/>
      </w:r>
    </w:p>
  </w:endnote>
  <w:endnote w:type="continuationSeparator" w:id="0">
    <w:p w14:paraId="5790A825" w14:textId="77777777" w:rsidR="00F259A4" w:rsidRDefault="00F25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9DA3A3" w14:textId="77777777" w:rsidR="009257BF" w:rsidRDefault="00000000">
    <w:pPr>
      <w:jc w:val="center"/>
    </w:pPr>
    <w:r>
      <w:rPr>
        <w:color w:val="444444"/>
        <w:sz w:val="16"/>
        <w:szCs w:val="16"/>
      </w:rPr>
      <w:t>COLL 150 · Artificial Intelligence in Speculative Media and Literatures · Fall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3D2F38" w14:textId="77777777" w:rsidR="00F259A4" w:rsidRDefault="00F259A4">
      <w:r>
        <w:separator/>
      </w:r>
    </w:p>
  </w:footnote>
  <w:footnote w:type="continuationSeparator" w:id="0">
    <w:p w14:paraId="204CB152" w14:textId="77777777" w:rsidR="00F259A4" w:rsidRDefault="00F259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A40EFA"/>
    <w:multiLevelType w:val="hybridMultilevel"/>
    <w:tmpl w:val="78A2593A"/>
    <w:lvl w:ilvl="0" w:tplc="76A8A1EC">
      <w:start w:val="1"/>
      <w:numFmt w:val="bullet"/>
      <w:lvlText w:val="●"/>
      <w:lvlJc w:val="left"/>
      <w:pPr>
        <w:ind w:left="720" w:hanging="360"/>
      </w:pPr>
    </w:lvl>
    <w:lvl w:ilvl="1" w:tplc="7B0C10C8">
      <w:start w:val="1"/>
      <w:numFmt w:val="bullet"/>
      <w:lvlText w:val="○"/>
      <w:lvlJc w:val="left"/>
      <w:pPr>
        <w:ind w:left="1440" w:hanging="360"/>
      </w:pPr>
    </w:lvl>
    <w:lvl w:ilvl="2" w:tplc="503EE018">
      <w:start w:val="1"/>
      <w:numFmt w:val="bullet"/>
      <w:lvlText w:val="■"/>
      <w:lvlJc w:val="left"/>
      <w:pPr>
        <w:ind w:left="2160" w:hanging="360"/>
      </w:pPr>
    </w:lvl>
    <w:lvl w:ilvl="3" w:tplc="773CBE40">
      <w:start w:val="1"/>
      <w:numFmt w:val="bullet"/>
      <w:lvlText w:val="●"/>
      <w:lvlJc w:val="left"/>
      <w:pPr>
        <w:ind w:left="2880" w:hanging="360"/>
      </w:pPr>
    </w:lvl>
    <w:lvl w:ilvl="4" w:tplc="4C5E0B3E">
      <w:start w:val="1"/>
      <w:numFmt w:val="bullet"/>
      <w:lvlText w:val="○"/>
      <w:lvlJc w:val="left"/>
      <w:pPr>
        <w:ind w:left="3600" w:hanging="360"/>
      </w:pPr>
    </w:lvl>
    <w:lvl w:ilvl="5" w:tplc="955A04FA">
      <w:start w:val="1"/>
      <w:numFmt w:val="bullet"/>
      <w:lvlText w:val="■"/>
      <w:lvlJc w:val="left"/>
      <w:pPr>
        <w:ind w:left="4320" w:hanging="360"/>
      </w:pPr>
    </w:lvl>
    <w:lvl w:ilvl="6" w:tplc="3EBAD92E">
      <w:start w:val="1"/>
      <w:numFmt w:val="bullet"/>
      <w:lvlText w:val="●"/>
      <w:lvlJc w:val="left"/>
      <w:pPr>
        <w:ind w:left="5040" w:hanging="360"/>
      </w:pPr>
    </w:lvl>
    <w:lvl w:ilvl="7" w:tplc="4A7E2BDE">
      <w:start w:val="1"/>
      <w:numFmt w:val="bullet"/>
      <w:lvlText w:val="●"/>
      <w:lvlJc w:val="left"/>
      <w:pPr>
        <w:ind w:left="5760" w:hanging="360"/>
      </w:pPr>
    </w:lvl>
    <w:lvl w:ilvl="8" w:tplc="5BCAD5E8">
      <w:start w:val="1"/>
      <w:numFmt w:val="bullet"/>
      <w:lvlText w:val="●"/>
      <w:lvlJc w:val="left"/>
      <w:pPr>
        <w:ind w:left="6480" w:hanging="360"/>
      </w:pPr>
    </w:lvl>
  </w:abstractNum>
  <w:abstractNum w:abstractNumId="1" w15:restartNumberingAfterBreak="0">
    <w:nsid w:val="1B8150D1"/>
    <w:multiLevelType w:val="hybridMultilevel"/>
    <w:tmpl w:val="667C340A"/>
    <w:lvl w:ilvl="0" w:tplc="E004B9D0">
      <w:start w:val="1"/>
      <w:numFmt w:val="decimal"/>
      <w:lvlText w:val="%1."/>
      <w:lvlJc w:val="left"/>
      <w:pPr>
        <w:ind w:left="518" w:hanging="345"/>
      </w:pPr>
    </w:lvl>
    <w:lvl w:ilvl="1" w:tplc="E9088688">
      <w:numFmt w:val="decimal"/>
      <w:lvlText w:val=""/>
      <w:lvlJc w:val="left"/>
    </w:lvl>
    <w:lvl w:ilvl="2" w:tplc="90EAD936">
      <w:numFmt w:val="decimal"/>
      <w:lvlText w:val=""/>
      <w:lvlJc w:val="left"/>
    </w:lvl>
    <w:lvl w:ilvl="3" w:tplc="AE42BF80">
      <w:numFmt w:val="decimal"/>
      <w:lvlText w:val=""/>
      <w:lvlJc w:val="left"/>
    </w:lvl>
    <w:lvl w:ilvl="4" w:tplc="0924F2D6">
      <w:numFmt w:val="decimal"/>
      <w:lvlText w:val=""/>
      <w:lvlJc w:val="left"/>
    </w:lvl>
    <w:lvl w:ilvl="5" w:tplc="B3C0509E">
      <w:numFmt w:val="decimal"/>
      <w:lvlText w:val=""/>
      <w:lvlJc w:val="left"/>
    </w:lvl>
    <w:lvl w:ilvl="6" w:tplc="24787BB0">
      <w:numFmt w:val="decimal"/>
      <w:lvlText w:val=""/>
      <w:lvlJc w:val="left"/>
    </w:lvl>
    <w:lvl w:ilvl="7" w:tplc="A3BE6314">
      <w:numFmt w:val="decimal"/>
      <w:lvlText w:val=""/>
      <w:lvlJc w:val="left"/>
    </w:lvl>
    <w:lvl w:ilvl="8" w:tplc="4BF4327C">
      <w:numFmt w:val="decimal"/>
      <w:lvlText w:val=""/>
      <w:lvlJc w:val="left"/>
    </w:lvl>
  </w:abstractNum>
  <w:abstractNum w:abstractNumId="2" w15:restartNumberingAfterBreak="0">
    <w:nsid w:val="3E630CA4"/>
    <w:multiLevelType w:val="hybridMultilevel"/>
    <w:tmpl w:val="5F7A2E28"/>
    <w:lvl w:ilvl="0" w:tplc="3958318C">
      <w:start w:val="1"/>
      <w:numFmt w:val="bullet"/>
      <w:lvlText w:val="•"/>
      <w:lvlJc w:val="left"/>
      <w:pPr>
        <w:ind w:left="431" w:hanging="259"/>
      </w:pPr>
    </w:lvl>
    <w:lvl w:ilvl="1" w:tplc="3D961298">
      <w:numFmt w:val="decimal"/>
      <w:lvlText w:val=""/>
      <w:lvlJc w:val="left"/>
    </w:lvl>
    <w:lvl w:ilvl="2" w:tplc="BCFE08CA">
      <w:numFmt w:val="decimal"/>
      <w:lvlText w:val=""/>
      <w:lvlJc w:val="left"/>
    </w:lvl>
    <w:lvl w:ilvl="3" w:tplc="AF2467B4">
      <w:numFmt w:val="decimal"/>
      <w:lvlText w:val=""/>
      <w:lvlJc w:val="left"/>
    </w:lvl>
    <w:lvl w:ilvl="4" w:tplc="F31ADE82">
      <w:numFmt w:val="decimal"/>
      <w:lvlText w:val=""/>
      <w:lvlJc w:val="left"/>
    </w:lvl>
    <w:lvl w:ilvl="5" w:tplc="DA883FF4">
      <w:numFmt w:val="decimal"/>
      <w:lvlText w:val=""/>
      <w:lvlJc w:val="left"/>
    </w:lvl>
    <w:lvl w:ilvl="6" w:tplc="C34E2E72">
      <w:numFmt w:val="decimal"/>
      <w:lvlText w:val=""/>
      <w:lvlJc w:val="left"/>
    </w:lvl>
    <w:lvl w:ilvl="7" w:tplc="1D70C808">
      <w:numFmt w:val="decimal"/>
      <w:lvlText w:val=""/>
      <w:lvlJc w:val="left"/>
    </w:lvl>
    <w:lvl w:ilvl="8" w:tplc="5AAE58FC">
      <w:numFmt w:val="decimal"/>
      <w:lvlText w:val=""/>
      <w:lvlJc w:val="left"/>
    </w:lvl>
  </w:abstractNum>
  <w:num w:numId="1" w16cid:durableId="2059041317">
    <w:abstractNumId w:val="0"/>
    <w:lvlOverride w:ilvl="0">
      <w:startOverride w:val="1"/>
    </w:lvlOverride>
  </w:num>
  <w:num w:numId="2" w16cid:durableId="1943762712">
    <w:abstractNumId w:val="1"/>
    <w:lvlOverride w:ilvl="0">
      <w:startOverride w:val="1"/>
    </w:lvlOverride>
  </w:num>
  <w:num w:numId="3" w16cid:durableId="807629824">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7BF"/>
    <w:rsid w:val="000B4EDB"/>
    <w:rsid w:val="000C2830"/>
    <w:rsid w:val="00135A93"/>
    <w:rsid w:val="001D2AA2"/>
    <w:rsid w:val="001F7BCF"/>
    <w:rsid w:val="002C1733"/>
    <w:rsid w:val="00374810"/>
    <w:rsid w:val="003E231A"/>
    <w:rsid w:val="006B1D03"/>
    <w:rsid w:val="00710C8B"/>
    <w:rsid w:val="008540F7"/>
    <w:rsid w:val="009257BF"/>
    <w:rsid w:val="00925BDC"/>
    <w:rsid w:val="009417D6"/>
    <w:rsid w:val="00B1313A"/>
    <w:rsid w:val="00B43EA7"/>
    <w:rsid w:val="00D977F0"/>
    <w:rsid w:val="00DE0D60"/>
    <w:rsid w:val="00E204C7"/>
    <w:rsid w:val="00EB1D54"/>
    <w:rsid w:val="00F259A4"/>
    <w:rsid w:val="00FF2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8A798"/>
  <w15:docId w15:val="{6D44BA3F-0FD6-834A-8787-FF84B6B76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5361</Words>
  <Characters>30559</Characters>
  <Application>Microsoft Office Word</Application>
  <DocSecurity>0</DocSecurity>
  <Lines>254</Lines>
  <Paragraphs>71</Paragraphs>
  <ScaleCrop>false</ScaleCrop>
  <Company/>
  <LinksUpToDate>false</LinksUpToDate>
  <CharactersWithSpaces>35849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 150 / CSCI 150 — Artificial Intelligence in Speculative Media and Literatures — Fall 2026</dc:title>
  <dc:creator>Ashley Y. Gao</dc:creator>
  <cp:lastModifiedBy>Gao, Ashley</cp:lastModifiedBy>
  <cp:revision>12</cp:revision>
  <dcterms:created xsi:type="dcterms:W3CDTF">2026-08-20T17:46:00Z</dcterms:created>
  <dcterms:modified xsi:type="dcterms:W3CDTF">2026-09-22T13:48:00Z</dcterms:modified>
</cp:coreProperties>
</file>