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607E8B" w14:textId="77777777" w:rsidR="00FF2D50" w:rsidRPr="00FF2D50" w:rsidRDefault="00FF2D50" w:rsidP="00FF2D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2D50">
        <w:rPr>
          <w:rFonts w:ascii="Times New Roman" w:eastAsia="Times New Roman" w:hAnsi="Times New Roman" w:cs="Times New Roman"/>
          <w:b/>
          <w:bCs/>
          <w:kern w:val="36"/>
          <w:sz w:val="48"/>
          <w:szCs w:val="48"/>
          <w14:ligatures w14:val="none"/>
        </w:rPr>
        <w:t>Understanding Alzheimer’s Disease</w:t>
      </w:r>
    </w:p>
    <w:p w14:paraId="4460C20A" w14:textId="505A944E" w:rsidR="00FF2D50" w:rsidRPr="00E41566" w:rsidRDefault="00FF2D50" w:rsidP="00E41566">
      <w:pPr>
        <w:spacing w:before="100" w:beforeAutospacing="1" w:after="100" w:afterAutospacing="1" w:line="240" w:lineRule="auto"/>
        <w:outlineLvl w:val="1"/>
        <w:rPr>
          <w:rFonts w:ascii="Times New Roman" w:eastAsia="Times New Roman" w:hAnsi="Times New Roman" w:cs="Times New Roman" w:hint="eastAsia"/>
          <w:b/>
          <w:bCs/>
          <w:kern w:val="0"/>
          <w:sz w:val="36"/>
          <w:szCs w:val="36"/>
          <w14:ligatures w14:val="none"/>
        </w:rPr>
      </w:pPr>
      <w:r w:rsidRPr="00FF2D50">
        <w:rPr>
          <w:rFonts w:ascii="Times New Roman" w:eastAsia="Times New Roman" w:hAnsi="Times New Roman" w:cs="Times New Roman"/>
          <w:b/>
          <w:bCs/>
          <w:kern w:val="0"/>
          <w:sz w:val="36"/>
          <w:szCs w:val="36"/>
          <w14:ligatures w14:val="none"/>
        </w:rPr>
        <w:t>What happens in the brain—and what it means, day to day, for people living with it and those who love them</w:t>
      </w:r>
    </w:p>
    <w:p w14:paraId="4F00D92A"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Alzheimer’s disease is often described as memory loss. But memory is only the most visible beginning of a much larger story.</w:t>
      </w:r>
    </w:p>
    <w:p w14:paraId="6E9810CC"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Alzheimer’s is a progressive biological disease that changes how brain cells communicate, function, and survive. These changes may begin many years before symptoms become noticeable.&lt;sup&gt;</w:t>
      </w:r>
      <w:hyperlink r:id="rId5" w:anchor="ref-1" w:history="1">
        <w:r w:rsidRPr="00FF2D50">
          <w:rPr>
            <w:rFonts w:ascii="Times New Roman" w:eastAsia="Times New Roman" w:hAnsi="Times New Roman" w:cs="Times New Roman"/>
            <w:color w:val="0000FF"/>
            <w:kern w:val="0"/>
            <w:u w:val="single"/>
            <w14:ligatures w14:val="none"/>
          </w:rPr>
          <w:t>1</w:t>
        </w:r>
      </w:hyperlink>
      <w:r w:rsidRPr="00FF2D50">
        <w:rPr>
          <w:rFonts w:ascii="Times New Roman" w:eastAsia="Times New Roman" w:hAnsi="Times New Roman" w:cs="Times New Roman"/>
          <w:kern w:val="0"/>
          <w14:ligatures w14:val="none"/>
        </w:rPr>
        <w:t>&lt;/sup&gt;&lt;sup&gt;</w:t>
      </w:r>
      <w:hyperlink r:id="rId6" w:anchor="ref-6" w:history="1">
        <w:r w:rsidRPr="00FF2D50">
          <w:rPr>
            <w:rFonts w:ascii="Times New Roman" w:eastAsia="Times New Roman" w:hAnsi="Times New Roman" w:cs="Times New Roman"/>
            <w:color w:val="0000FF"/>
            <w:kern w:val="0"/>
            <w:u w:val="single"/>
            <w14:ligatures w14:val="none"/>
          </w:rPr>
          <w:t>6</w:t>
        </w:r>
      </w:hyperlink>
      <w:r w:rsidRPr="00FF2D50">
        <w:rPr>
          <w:rFonts w:ascii="Times New Roman" w:eastAsia="Times New Roman" w:hAnsi="Times New Roman" w:cs="Times New Roman"/>
          <w:kern w:val="0"/>
          <w14:ligatures w14:val="none"/>
        </w:rPr>
        <w:t>&lt;/sup&gt; Over time, the disease can affect not only memory but also language, judgment, orientation, mood, movement, and the ability to manage everyday life.</w:t>
      </w:r>
    </w:p>
    <w:p w14:paraId="5AC95B91"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Understanding these changes does not make the disease easy. But it can make confusing experiences less frightening, help families respond with greater compassion, and create more room for planning, treatment, connection, and hope.</w:t>
      </w:r>
    </w:p>
    <w:p w14:paraId="79CAB472"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Alzheimer’s is not normal aging</w:t>
      </w:r>
    </w:p>
    <w:p w14:paraId="70797365"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Everyone occasionally forgets a name, misplaces an object, or walks into a room and wonders why. Normal aging may make learning new information slower, but it does not usually erase a person’s ability to manage familiar parts of life.</w:t>
      </w:r>
    </w:p>
    <w:p w14:paraId="7E4CDECD"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Alzheimer’s disease is different. Changes become persistent and gradually interfere with everyday functioning. A person may repeatedly ask the same question, become lost in a familiar place, struggle to manage bills or medications, or have difficulty completing steps that once felt automatic.&lt;sup&gt;</w:t>
      </w:r>
      <w:hyperlink r:id="rId7" w:anchor="ref-7" w:history="1">
        <w:r w:rsidRPr="00FF2D50">
          <w:rPr>
            <w:rFonts w:ascii="Times New Roman" w:eastAsia="Times New Roman" w:hAnsi="Times New Roman" w:cs="Times New Roman"/>
            <w:color w:val="0000FF"/>
            <w:kern w:val="0"/>
            <w:u w:val="single"/>
            <w14:ligatures w14:val="none"/>
          </w:rPr>
          <w:t>7</w:t>
        </w:r>
      </w:hyperlink>
      <w:r w:rsidRPr="00FF2D50">
        <w:rPr>
          <w:rFonts w:ascii="Times New Roman" w:eastAsia="Times New Roman" w:hAnsi="Times New Roman" w:cs="Times New Roman"/>
          <w:kern w:val="0"/>
          <w14:ligatures w14:val="none"/>
        </w:rPr>
        <w:t>&lt;/sup&gt;</w:t>
      </w:r>
    </w:p>
    <w:p w14:paraId="660C5B14"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“Dementia” is not one specific disease. It is a clinical term for a decline in memory, thinking, reasoning, or behavior that interferes with daily independence. Alzheimer’s is the most common cause, but vascular disease, Lewy body disease, frontotemporal degeneration, medication effects, sleep disorders, depression, infections, and other conditions can produce similar symptoms. More than one disease process may also be present in the same brain.</w:t>
      </w:r>
    </w:p>
    <w:p w14:paraId="030EEACE"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That is why memory concerns deserve a careful medical evaluation—not an assumption.</w:t>
      </w:r>
    </w:p>
    <w:p w14:paraId="6E52A0D2"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What changes inside the brain?</w:t>
      </w:r>
    </w:p>
    <w:p w14:paraId="72F09D23"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 brain contains billions of neurons connected through intricate networks. Every conversation, decision, movement, and memory depends on these cells sending and receiving signals at the right time.</w:t>
      </w:r>
    </w:p>
    <w:p w14:paraId="13C93A6F"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In Alzheimer’s disease, several overlapping processes disrupt those networks.</w:t>
      </w:r>
    </w:p>
    <w:p w14:paraId="29D36B66" w14:textId="77777777" w:rsidR="00FF2D50" w:rsidRPr="00FF2D50" w:rsidRDefault="00FF2D50" w:rsidP="00FF2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D50">
        <w:rPr>
          <w:rFonts w:ascii="Times New Roman" w:eastAsia="Times New Roman" w:hAnsi="Times New Roman" w:cs="Times New Roman"/>
          <w:b/>
          <w:bCs/>
          <w:kern w:val="0"/>
          <w:sz w:val="27"/>
          <w:szCs w:val="27"/>
          <w14:ligatures w14:val="none"/>
        </w:rPr>
        <w:lastRenderedPageBreak/>
        <w:t>Amyloid begins to accumulate</w:t>
      </w:r>
    </w:p>
    <w:p w14:paraId="2ECBEEF0"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 protein fragment called beta-amyloid can collect between brain cells and form plaques. This accumulation may begin one or two decades before dementia symptoms appear.&lt;sup&gt;</w:t>
      </w:r>
      <w:hyperlink r:id="rId8" w:anchor="ref-1" w:history="1">
        <w:r w:rsidRPr="00FF2D50">
          <w:rPr>
            <w:rFonts w:ascii="Times New Roman" w:eastAsia="Times New Roman" w:hAnsi="Times New Roman" w:cs="Times New Roman"/>
            <w:color w:val="0000FF"/>
            <w:kern w:val="0"/>
            <w:u w:val="single"/>
            <w14:ligatures w14:val="none"/>
          </w:rPr>
          <w:t>1</w:t>
        </w:r>
      </w:hyperlink>
      <w:r w:rsidRPr="00FF2D50">
        <w:rPr>
          <w:rFonts w:ascii="Times New Roman" w:eastAsia="Times New Roman" w:hAnsi="Times New Roman" w:cs="Times New Roman"/>
          <w:kern w:val="0"/>
          <w14:ligatures w14:val="none"/>
        </w:rPr>
        <w:t>&lt;/sup&gt;&lt;sup&gt;</w:t>
      </w:r>
      <w:hyperlink r:id="rId9" w:anchor="ref-6" w:history="1">
        <w:r w:rsidRPr="00FF2D50">
          <w:rPr>
            <w:rFonts w:ascii="Times New Roman" w:eastAsia="Times New Roman" w:hAnsi="Times New Roman" w:cs="Times New Roman"/>
            <w:color w:val="0000FF"/>
            <w:kern w:val="0"/>
            <w:u w:val="single"/>
            <w14:ligatures w14:val="none"/>
          </w:rPr>
          <w:t>6</w:t>
        </w:r>
      </w:hyperlink>
      <w:r w:rsidRPr="00FF2D50">
        <w:rPr>
          <w:rFonts w:ascii="Times New Roman" w:eastAsia="Times New Roman" w:hAnsi="Times New Roman" w:cs="Times New Roman"/>
          <w:kern w:val="0"/>
          <w14:ligatures w14:val="none"/>
        </w:rPr>
        <w:t>&lt;/sup&gt;</w:t>
      </w:r>
    </w:p>
    <w:p w14:paraId="609A4095"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Amyloid is an important marker of Alzheimer’s biology, but it is not the whole explanation. Some people have significant amyloid accumulation without obvious cognitive impairment. The severity of symptoms often relates more closely to the spread of abnormal tau protein, damage to connections, and the loss of functioning neurons.</w:t>
      </w:r>
    </w:p>
    <w:p w14:paraId="18AC7457" w14:textId="77777777" w:rsidR="00FF2D50" w:rsidRPr="00FF2D50" w:rsidRDefault="00FF2D50" w:rsidP="00FF2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D50">
        <w:rPr>
          <w:rFonts w:ascii="Times New Roman" w:eastAsia="Times New Roman" w:hAnsi="Times New Roman" w:cs="Times New Roman"/>
          <w:b/>
          <w:bCs/>
          <w:kern w:val="0"/>
          <w:sz w:val="27"/>
          <w:szCs w:val="27"/>
          <w14:ligatures w14:val="none"/>
        </w:rPr>
        <w:t>Tau disrupts the cell’s internal structure</w:t>
      </w:r>
    </w:p>
    <w:p w14:paraId="2AF7E9C6"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Inside healthy neurons, tau proteins help stabilize the transport system that moves nutrients and other materials through the cell. In Alzheimer’s disease, tau becomes abnormally altered and forms tangles.</w:t>
      </w:r>
    </w:p>
    <w:p w14:paraId="03D0254E"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These changes interfere with the neuron’s internal organization. Abnormal tau also spreads through connected brain regions in patterns that often parallel the progression of symptoms.&lt;sup&gt;</w:t>
      </w:r>
      <w:hyperlink r:id="rId10" w:anchor="ref-1" w:history="1">
        <w:r w:rsidRPr="00FF2D50">
          <w:rPr>
            <w:rFonts w:ascii="Times New Roman" w:eastAsia="Times New Roman" w:hAnsi="Times New Roman" w:cs="Times New Roman"/>
            <w:color w:val="0000FF"/>
            <w:kern w:val="0"/>
            <w:u w:val="single"/>
            <w14:ligatures w14:val="none"/>
          </w:rPr>
          <w:t>1</w:t>
        </w:r>
      </w:hyperlink>
      <w:r w:rsidRPr="00FF2D50">
        <w:rPr>
          <w:rFonts w:ascii="Times New Roman" w:eastAsia="Times New Roman" w:hAnsi="Times New Roman" w:cs="Times New Roman"/>
          <w:kern w:val="0"/>
          <w14:ligatures w14:val="none"/>
        </w:rPr>
        <w:t>&lt;/sup&gt;</w:t>
      </w:r>
    </w:p>
    <w:p w14:paraId="6333C2AD" w14:textId="77777777" w:rsidR="00FF2D50" w:rsidRPr="00FF2D50" w:rsidRDefault="00FF2D50" w:rsidP="00FF2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D50">
        <w:rPr>
          <w:rFonts w:ascii="Times New Roman" w:eastAsia="Times New Roman" w:hAnsi="Times New Roman" w:cs="Times New Roman"/>
          <w:b/>
          <w:bCs/>
          <w:kern w:val="0"/>
          <w:sz w:val="27"/>
          <w:szCs w:val="27"/>
          <w14:ligatures w14:val="none"/>
        </w:rPr>
        <w:t>Connections begin to fail</w:t>
      </w:r>
    </w:p>
    <w:p w14:paraId="53C06088"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Before a neuron dies, it may stop communicating effectively. Synapses—the tiny connection points between neurons—are damaged, making brain networks less efficient.</w:t>
      </w:r>
    </w:p>
    <w:p w14:paraId="16441AA6"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Early damage often involves the hippocampus and entorhinal cortex, regions essential for forming new memories.&lt;sup&gt;</w:t>
      </w:r>
      <w:hyperlink r:id="rId11" w:anchor="ref-6" w:history="1">
        <w:r w:rsidRPr="00FF2D50">
          <w:rPr>
            <w:rFonts w:ascii="Times New Roman" w:eastAsia="Times New Roman" w:hAnsi="Times New Roman" w:cs="Times New Roman"/>
            <w:color w:val="0000FF"/>
            <w:kern w:val="0"/>
            <w:u w:val="single"/>
            <w14:ligatures w14:val="none"/>
          </w:rPr>
          <w:t>6</w:t>
        </w:r>
      </w:hyperlink>
      <w:r w:rsidRPr="00FF2D50">
        <w:rPr>
          <w:rFonts w:ascii="Times New Roman" w:eastAsia="Times New Roman" w:hAnsi="Times New Roman" w:cs="Times New Roman"/>
          <w:kern w:val="0"/>
          <w14:ligatures w14:val="none"/>
        </w:rPr>
        <w:t>&lt;/sup&gt; This helps explain why someone may clearly remember an event from decades ago but be unable to retain something said five minutes earlier.</w:t>
      </w:r>
    </w:p>
    <w:p w14:paraId="4DBF1298"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As the disease progresses, damage reaches networks involved in language, reasoning, attention, visual-spatial processing, emotion, and movement.</w:t>
      </w:r>
    </w:p>
    <w:p w14:paraId="36392537" w14:textId="77777777" w:rsidR="00FF2D50" w:rsidRPr="00FF2D50" w:rsidRDefault="00FF2D50" w:rsidP="00FF2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D50">
        <w:rPr>
          <w:rFonts w:ascii="Times New Roman" w:eastAsia="Times New Roman" w:hAnsi="Times New Roman" w:cs="Times New Roman"/>
          <w:b/>
          <w:bCs/>
          <w:kern w:val="0"/>
          <w:sz w:val="27"/>
          <w:szCs w:val="27"/>
          <w14:ligatures w14:val="none"/>
        </w:rPr>
        <w:t>Inflammation and blood-vessel health matter too</w:t>
      </w:r>
    </w:p>
    <w:p w14:paraId="49557A35"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 brain’s immune cells respond to damaged tissue and abnormal proteins. Some immune activity may initially be protective, but persistent inflammation can contribute to further injury.</w:t>
      </w:r>
    </w:p>
    <w:p w14:paraId="6F3E2B2D"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Blood vessels also influence brain health. High blood pressure, diabetes, stroke, smoking, and other vascular conditions can reduce the brain’s resilience. Alzheimer’s and vascular changes frequently occur together, particularly later in life.&lt;sup&gt;</w:t>
      </w:r>
      <w:hyperlink r:id="rId12" w:anchor="ref-5" w:history="1">
        <w:r w:rsidRPr="00FF2D50">
          <w:rPr>
            <w:rFonts w:ascii="Times New Roman" w:eastAsia="Times New Roman" w:hAnsi="Times New Roman" w:cs="Times New Roman"/>
            <w:color w:val="0000FF"/>
            <w:kern w:val="0"/>
            <w:u w:val="single"/>
            <w14:ligatures w14:val="none"/>
          </w:rPr>
          <w:t>5</w:t>
        </w:r>
      </w:hyperlink>
      <w:r w:rsidRPr="00FF2D50">
        <w:rPr>
          <w:rFonts w:ascii="Times New Roman" w:eastAsia="Times New Roman" w:hAnsi="Times New Roman" w:cs="Times New Roman"/>
          <w:kern w:val="0"/>
          <w14:ligatures w14:val="none"/>
        </w:rPr>
        <w:t>&lt;/sup&gt;</w:t>
      </w:r>
    </w:p>
    <w:p w14:paraId="3F0B5B14"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There is no single switch responsible for every case. Alzheimer’s develops through interactions among abnormal proteins, immune responses, vascular health, aging, genetics, environment, and the brain’s individual capacity to adapt.</w:t>
      </w:r>
    </w:p>
    <w:p w14:paraId="31B1E02A"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lastRenderedPageBreak/>
        <w:t>How brain changes appear in daily life</w:t>
      </w:r>
    </w:p>
    <w:p w14:paraId="0FF17331"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Symptoms differ from person to person. They may also become more noticeable with fatigue, stress, pain, illness, noise, unfamiliar surroundings, or changes in routine.</w:t>
      </w:r>
    </w:p>
    <w:p w14:paraId="3CDCE0AA" w14:textId="77777777" w:rsidR="00FF2D50" w:rsidRPr="00FF2D50" w:rsidRDefault="00FF2D50" w:rsidP="00FF2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D50">
        <w:rPr>
          <w:rFonts w:ascii="Times New Roman" w:eastAsia="Times New Roman" w:hAnsi="Times New Roman" w:cs="Times New Roman"/>
          <w:b/>
          <w:bCs/>
          <w:kern w:val="0"/>
          <w:sz w:val="27"/>
          <w:szCs w:val="27"/>
          <w14:ligatures w14:val="none"/>
        </w:rPr>
        <w:t>Early changes</w:t>
      </w:r>
    </w:p>
    <w:p w14:paraId="00A3A6A3"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 person may:</w:t>
      </w:r>
    </w:p>
    <w:p w14:paraId="213C7CA1" w14:textId="77777777" w:rsidR="00FF2D50" w:rsidRPr="00FF2D50" w:rsidRDefault="00FF2D50" w:rsidP="00FF2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Forget recent conversations or appointments</w:t>
      </w:r>
    </w:p>
    <w:p w14:paraId="2885F5EC" w14:textId="77777777" w:rsidR="00FF2D50" w:rsidRPr="00FF2D50" w:rsidRDefault="00FF2D50" w:rsidP="00FF2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Repeat questions without remembering having asked them</w:t>
      </w:r>
    </w:p>
    <w:p w14:paraId="36381E03" w14:textId="77777777" w:rsidR="00FF2D50" w:rsidRPr="00FF2D50" w:rsidRDefault="00FF2D50" w:rsidP="00FF2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Lose track of bills, medications, or familiar steps</w:t>
      </w:r>
    </w:p>
    <w:p w14:paraId="21E42EEC" w14:textId="77777777" w:rsidR="00FF2D50" w:rsidRPr="00FF2D50" w:rsidRDefault="00FF2D50" w:rsidP="00FF2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Need more time to make decisions</w:t>
      </w:r>
    </w:p>
    <w:p w14:paraId="49E8DD17" w14:textId="77777777" w:rsidR="00FF2D50" w:rsidRPr="00FF2D50" w:rsidRDefault="00FF2D50" w:rsidP="00FF2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Struggle to find words</w:t>
      </w:r>
    </w:p>
    <w:p w14:paraId="05768E88" w14:textId="77777777" w:rsidR="00FF2D50" w:rsidRPr="00FF2D50" w:rsidRDefault="00FF2D50" w:rsidP="00FF2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Become anxious when routines change</w:t>
      </w:r>
    </w:p>
    <w:p w14:paraId="30469C59" w14:textId="77777777" w:rsidR="00FF2D50" w:rsidRPr="00FF2D50" w:rsidRDefault="00FF2D50" w:rsidP="00FF2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Withdraw from complex or socially demanding situations</w:t>
      </w:r>
    </w:p>
    <w:p w14:paraId="1FE8CADD"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These experiences are not laziness, carelessness, or a lack of effort. The brain may no longer be reliably storing new information or coordinating several pieces of information at once.</w:t>
      </w:r>
    </w:p>
    <w:p w14:paraId="40BB5388" w14:textId="77777777" w:rsidR="00FF2D50" w:rsidRPr="00FF2D50" w:rsidRDefault="00FF2D50" w:rsidP="00FF2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D50">
        <w:rPr>
          <w:rFonts w:ascii="Times New Roman" w:eastAsia="Times New Roman" w:hAnsi="Times New Roman" w:cs="Times New Roman"/>
          <w:b/>
          <w:bCs/>
          <w:kern w:val="0"/>
          <w:sz w:val="27"/>
          <w:szCs w:val="27"/>
          <w14:ligatures w14:val="none"/>
        </w:rPr>
        <w:t>Middle-stage changes</w:t>
      </w:r>
    </w:p>
    <w:p w14:paraId="6D805AAD"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As more networks are affected, a person may need help with preparing meals, traveling safely, choosing clothes, or managing personal care. Language may become less precise, and familiar people or places may sometimes be difficult to recognize.&lt;sup&gt;</w:t>
      </w:r>
      <w:hyperlink r:id="rId13" w:anchor="ref-7" w:history="1">
        <w:r w:rsidRPr="00FF2D50">
          <w:rPr>
            <w:rFonts w:ascii="Times New Roman" w:eastAsia="Times New Roman" w:hAnsi="Times New Roman" w:cs="Times New Roman"/>
            <w:color w:val="0000FF"/>
            <w:kern w:val="0"/>
            <w:u w:val="single"/>
            <w14:ligatures w14:val="none"/>
          </w:rPr>
          <w:t>7</w:t>
        </w:r>
      </w:hyperlink>
      <w:r w:rsidRPr="00FF2D50">
        <w:rPr>
          <w:rFonts w:ascii="Times New Roman" w:eastAsia="Times New Roman" w:hAnsi="Times New Roman" w:cs="Times New Roman"/>
          <w:kern w:val="0"/>
          <w14:ligatures w14:val="none"/>
        </w:rPr>
        <w:t>&lt;/sup&gt;</w:t>
      </w:r>
    </w:p>
    <w:p w14:paraId="7023899E"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Behavior can also change. Agitation, suspicion, wandering, sleep disruption, or resistance to care may reflect fear, overstimulation, pain, an unmet need, or an inability to explain what feels wrong.</w:t>
      </w:r>
    </w:p>
    <w:p w14:paraId="1E636C76"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Instead of asking only, “How do we stop this behavior?” it can help to ask, “What might this person be experiencing or trying to communicate?”</w:t>
      </w:r>
    </w:p>
    <w:p w14:paraId="67449A4B"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 sudden change in confusion or behavior should not automatically be attributed to Alzheimer’s. Infection, dehydration, pain, medication effects, constipation, or another medical problem may be responsible and should be evaluated.&lt;sup&gt;</w:t>
      </w:r>
      <w:hyperlink r:id="rId14" w:anchor="ref-8" w:history="1">
        <w:r w:rsidRPr="00FF2D50">
          <w:rPr>
            <w:rFonts w:ascii="Times New Roman" w:eastAsia="Times New Roman" w:hAnsi="Times New Roman" w:cs="Times New Roman"/>
            <w:color w:val="0000FF"/>
            <w:kern w:val="0"/>
            <w:u w:val="single"/>
            <w14:ligatures w14:val="none"/>
          </w:rPr>
          <w:t>8</w:t>
        </w:r>
      </w:hyperlink>
      <w:r w:rsidRPr="00FF2D50">
        <w:rPr>
          <w:rFonts w:ascii="Times New Roman" w:eastAsia="Times New Roman" w:hAnsi="Times New Roman" w:cs="Times New Roman"/>
          <w:kern w:val="0"/>
          <w14:ligatures w14:val="none"/>
        </w:rPr>
        <w:t>&lt;/sup&gt;</w:t>
      </w:r>
    </w:p>
    <w:p w14:paraId="4DE02EA0" w14:textId="77777777" w:rsidR="00FF2D50" w:rsidRPr="00FF2D50" w:rsidRDefault="00FF2D50" w:rsidP="00FF2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D50">
        <w:rPr>
          <w:rFonts w:ascii="Times New Roman" w:eastAsia="Times New Roman" w:hAnsi="Times New Roman" w:cs="Times New Roman"/>
          <w:b/>
          <w:bCs/>
          <w:kern w:val="0"/>
          <w:sz w:val="27"/>
          <w:szCs w:val="27"/>
          <w14:ligatures w14:val="none"/>
        </w:rPr>
        <w:t>Later changes</w:t>
      </w:r>
    </w:p>
    <w:p w14:paraId="2C6981E0"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In advanced disease, communication may become limited, and assistance may be needed with eating, mobility, toileting, and nearly all daily activities.</w:t>
      </w:r>
    </w:p>
    <w:p w14:paraId="66A8285E"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Even when words are lost, emotional connection may remain. Tone of voice, familiar music, gentle touch, facial expression, rhythm, and a sense of safety can still carry meaning.</w:t>
      </w:r>
    </w:p>
    <w:p w14:paraId="5C218E9D"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lastRenderedPageBreak/>
        <w:t>The disease changes a person’s abilities. It does not remove their humanity.</w:t>
      </w:r>
    </w:p>
    <w:p w14:paraId="0E690F87"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How Alzheimer’s is diagnosed</w:t>
      </w:r>
    </w:p>
    <w:p w14:paraId="6F85767F"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 diagnosis should begin with the person—not with a laboratory result.</w:t>
      </w:r>
    </w:p>
    <w:p w14:paraId="6E1FD8C6"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 comprehensive evaluation may include:</w:t>
      </w:r>
    </w:p>
    <w:p w14:paraId="56CC20AF" w14:textId="77777777" w:rsidR="00FF2D50" w:rsidRPr="00FF2D50" w:rsidRDefault="00FF2D50" w:rsidP="00FF2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 detailed history from the person and someone who knows them well</w:t>
      </w:r>
    </w:p>
    <w:p w14:paraId="700EC40B" w14:textId="77777777" w:rsidR="00FF2D50" w:rsidRPr="00FF2D50" w:rsidRDefault="00FF2D50" w:rsidP="00FF2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Review of medications, sleep, mood, hearing, vision, and medical conditions</w:t>
      </w:r>
    </w:p>
    <w:p w14:paraId="0183DE79" w14:textId="77777777" w:rsidR="00FF2D50" w:rsidRPr="00FF2D50" w:rsidRDefault="00FF2D50" w:rsidP="00FF2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Cognitive and functional assessment</w:t>
      </w:r>
    </w:p>
    <w:p w14:paraId="3AFA80D4" w14:textId="77777777" w:rsidR="00FF2D50" w:rsidRPr="00FF2D50" w:rsidRDefault="00FF2D50" w:rsidP="00FF2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Neurological and physical examination</w:t>
      </w:r>
    </w:p>
    <w:p w14:paraId="372D19B0" w14:textId="77777777" w:rsidR="00FF2D50" w:rsidRPr="00FF2D50" w:rsidRDefault="00FF2D50" w:rsidP="00FF2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Blood tests to investigate other possible causes</w:t>
      </w:r>
    </w:p>
    <w:p w14:paraId="583F3D9E" w14:textId="77777777" w:rsidR="00FF2D50" w:rsidRPr="00FF2D50" w:rsidRDefault="00FF2D50" w:rsidP="00FF2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Brain imaging, often MRI or CT</w:t>
      </w:r>
    </w:p>
    <w:p w14:paraId="0D2BB795" w14:textId="77777777" w:rsidR="00FF2D50" w:rsidRPr="00FF2D50" w:rsidRDefault="00FF2D50" w:rsidP="00FF2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When appropriate, tests for Alzheimer’s-related biomarkers</w:t>
      </w:r>
    </w:p>
    <w:p w14:paraId="612E9928"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 2024 revised criteria describe Alzheimer’s increasingly as a biological disease that can be identified through biomarkers.&lt;sup&gt;</w:t>
      </w:r>
      <w:hyperlink r:id="rId15" w:anchor="ref-1" w:history="1">
        <w:r w:rsidRPr="00FF2D50">
          <w:rPr>
            <w:rFonts w:ascii="Times New Roman" w:eastAsia="Times New Roman" w:hAnsi="Times New Roman" w:cs="Times New Roman"/>
            <w:color w:val="0000FF"/>
            <w:kern w:val="0"/>
            <w:u w:val="single"/>
            <w14:ligatures w14:val="none"/>
          </w:rPr>
          <w:t>1</w:t>
        </w:r>
      </w:hyperlink>
      <w:r w:rsidRPr="00FF2D50">
        <w:rPr>
          <w:rFonts w:ascii="Times New Roman" w:eastAsia="Times New Roman" w:hAnsi="Times New Roman" w:cs="Times New Roman"/>
          <w:kern w:val="0"/>
          <w14:ligatures w14:val="none"/>
        </w:rPr>
        <w:t>&lt;/sup&gt; However, biological findings and clinical symptoms are not identical. Routine testing of people without cognitive symptoms is not currently recommended outside appropriate research settings.</w:t>
      </w:r>
    </w:p>
    <w:p w14:paraId="53B67F0D"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Blood-based biomarkers—particularly tests involving phosphorylated tau—are making evaluation more accessible. In 2025, the U.S. Food and Drug Administration cleared the first blood test designed to help identify amyloid pathology in symptomatic adults aged 55 and older.&lt;sup&gt;</w:t>
      </w:r>
      <w:hyperlink r:id="rId16" w:anchor="ref-10" w:history="1">
        <w:r w:rsidRPr="00FF2D50">
          <w:rPr>
            <w:rFonts w:ascii="Times New Roman" w:eastAsia="Times New Roman" w:hAnsi="Times New Roman" w:cs="Times New Roman"/>
            <w:color w:val="0000FF"/>
            <w:kern w:val="0"/>
            <w:u w:val="single"/>
            <w14:ligatures w14:val="none"/>
          </w:rPr>
          <w:t>10</w:t>
        </w:r>
      </w:hyperlink>
      <w:r w:rsidRPr="00FF2D50">
        <w:rPr>
          <w:rFonts w:ascii="Times New Roman" w:eastAsia="Times New Roman" w:hAnsi="Times New Roman" w:cs="Times New Roman"/>
          <w:kern w:val="0"/>
          <w14:ligatures w14:val="none"/>
        </w:rPr>
        <w:t>&lt;/sup&gt;</w:t>
      </w:r>
    </w:p>
    <w:p w14:paraId="1B3508AA"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Current guidelines emphasize that blood biomarkers must be interpreted as part of a complete clinical evaluation. They are not stand-alone home screening tests and do not replace the judgment of a qualified clinician.&lt;sup&gt;</w:t>
      </w:r>
      <w:hyperlink r:id="rId17" w:anchor="ref-4" w:history="1">
        <w:r w:rsidRPr="00FF2D50">
          <w:rPr>
            <w:rFonts w:ascii="Times New Roman" w:eastAsia="Times New Roman" w:hAnsi="Times New Roman" w:cs="Times New Roman"/>
            <w:color w:val="0000FF"/>
            <w:kern w:val="0"/>
            <w:u w:val="single"/>
            <w14:ligatures w14:val="none"/>
          </w:rPr>
          <w:t>4</w:t>
        </w:r>
      </w:hyperlink>
      <w:r w:rsidRPr="00FF2D50">
        <w:rPr>
          <w:rFonts w:ascii="Times New Roman" w:eastAsia="Times New Roman" w:hAnsi="Times New Roman" w:cs="Times New Roman"/>
          <w:kern w:val="0"/>
          <w14:ligatures w14:val="none"/>
        </w:rPr>
        <w:t>&lt;/sup&gt;</w:t>
      </w:r>
    </w:p>
    <w:p w14:paraId="5C9A2DA9"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 diagnosis should also include counseling. People deserve a clear explanation of what is known, what remains uncertain, what choices are available, and what the results may mean for their lives.</w:t>
      </w:r>
    </w:p>
    <w:p w14:paraId="21D68650"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What treatment can—and cannot—do</w:t>
      </w:r>
    </w:p>
    <w:p w14:paraId="3DEB5D57"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There is not yet a cure that restores brain cells already lost to Alzheimer’s disease. But treatment is changing.</w:t>
      </w:r>
    </w:p>
    <w:p w14:paraId="0968A7E1"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Medications such as cholinesterase inhibitors and memantine may temporarily support cognition, behavior, or daily functioning for some people. They do not stop the underlying disease.</w:t>
      </w:r>
    </w:p>
    <w:p w14:paraId="0EFD0AFA"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Newer anti-amyloid treatments, including lecanemab and donanemab, can remove amyloid from the brain and modestly slow decline in selected people with mild cognitive impairment or mild dementia caused by Alzheimer’s disease.&lt;sup&gt;</w:t>
      </w:r>
      <w:hyperlink r:id="rId18" w:anchor="ref-2" w:history="1">
        <w:r w:rsidRPr="00FF2D50">
          <w:rPr>
            <w:rFonts w:ascii="Times New Roman" w:eastAsia="Times New Roman" w:hAnsi="Times New Roman" w:cs="Times New Roman"/>
            <w:color w:val="0000FF"/>
            <w:kern w:val="0"/>
            <w:u w:val="single"/>
            <w14:ligatures w14:val="none"/>
          </w:rPr>
          <w:t>2</w:t>
        </w:r>
      </w:hyperlink>
      <w:r w:rsidRPr="00FF2D50">
        <w:rPr>
          <w:rFonts w:ascii="Times New Roman" w:eastAsia="Times New Roman" w:hAnsi="Times New Roman" w:cs="Times New Roman"/>
          <w:kern w:val="0"/>
          <w14:ligatures w14:val="none"/>
        </w:rPr>
        <w:t>&lt;/sup&gt;&lt;sup&gt;</w:t>
      </w:r>
      <w:hyperlink r:id="rId19" w:anchor="ref-3" w:history="1">
        <w:r w:rsidRPr="00FF2D50">
          <w:rPr>
            <w:rFonts w:ascii="Times New Roman" w:eastAsia="Times New Roman" w:hAnsi="Times New Roman" w:cs="Times New Roman"/>
            <w:color w:val="0000FF"/>
            <w:kern w:val="0"/>
            <w:u w:val="single"/>
            <w14:ligatures w14:val="none"/>
          </w:rPr>
          <w:t>3</w:t>
        </w:r>
      </w:hyperlink>
      <w:r w:rsidRPr="00FF2D50">
        <w:rPr>
          <w:rFonts w:ascii="Times New Roman" w:eastAsia="Times New Roman" w:hAnsi="Times New Roman" w:cs="Times New Roman"/>
          <w:kern w:val="0"/>
          <w14:ligatures w14:val="none"/>
        </w:rPr>
        <w:t xml:space="preserve">&lt;/sup&gt; They do not reverse the </w:t>
      </w:r>
      <w:r w:rsidRPr="00FF2D50">
        <w:rPr>
          <w:rFonts w:ascii="Times New Roman" w:eastAsia="Times New Roman" w:hAnsi="Times New Roman" w:cs="Times New Roman"/>
          <w:kern w:val="0"/>
          <w14:ligatures w14:val="none"/>
        </w:rPr>
        <w:lastRenderedPageBreak/>
        <w:t>disease, and the average benefit observed in clinical trials was a slowing of progression—not a return to previous abilities.</w:t>
      </w:r>
    </w:p>
    <w:p w14:paraId="1C9AE10E"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These treatments require confirmation of amyloid pathology and careful medical monitoring. They can cause amyloid-related imaging abnormalities, known as ARIA, involving swelling or bleeding in the brain. Many cases detected in trials caused no symptoms, but serious and occasionally life-threatening complications can occur.&lt;sup&gt;</w:t>
      </w:r>
      <w:hyperlink r:id="rId20" w:anchor="ref-2" w:history="1">
        <w:r w:rsidRPr="00FF2D50">
          <w:rPr>
            <w:rFonts w:ascii="Times New Roman" w:eastAsia="Times New Roman" w:hAnsi="Times New Roman" w:cs="Times New Roman"/>
            <w:color w:val="0000FF"/>
            <w:kern w:val="0"/>
            <w:u w:val="single"/>
            <w14:ligatures w14:val="none"/>
          </w:rPr>
          <w:t>2</w:t>
        </w:r>
      </w:hyperlink>
      <w:r w:rsidRPr="00FF2D50">
        <w:rPr>
          <w:rFonts w:ascii="Times New Roman" w:eastAsia="Times New Roman" w:hAnsi="Times New Roman" w:cs="Times New Roman"/>
          <w:kern w:val="0"/>
          <w14:ligatures w14:val="none"/>
        </w:rPr>
        <w:t>&lt;/sup&gt;&lt;sup&gt;</w:t>
      </w:r>
      <w:hyperlink r:id="rId21" w:anchor="ref-3" w:history="1">
        <w:r w:rsidRPr="00FF2D50">
          <w:rPr>
            <w:rFonts w:ascii="Times New Roman" w:eastAsia="Times New Roman" w:hAnsi="Times New Roman" w:cs="Times New Roman"/>
            <w:color w:val="0000FF"/>
            <w:kern w:val="0"/>
            <w:u w:val="single"/>
            <w14:ligatures w14:val="none"/>
          </w:rPr>
          <w:t>3</w:t>
        </w:r>
      </w:hyperlink>
      <w:r w:rsidRPr="00FF2D50">
        <w:rPr>
          <w:rFonts w:ascii="Times New Roman" w:eastAsia="Times New Roman" w:hAnsi="Times New Roman" w:cs="Times New Roman"/>
          <w:kern w:val="0"/>
          <w14:ligatures w14:val="none"/>
        </w:rPr>
        <w:t>&lt;/sup&gt;&lt;sup&gt;</w:t>
      </w:r>
      <w:hyperlink r:id="rId22" w:anchor="ref-9" w:history="1">
        <w:r w:rsidRPr="00FF2D50">
          <w:rPr>
            <w:rFonts w:ascii="Times New Roman" w:eastAsia="Times New Roman" w:hAnsi="Times New Roman" w:cs="Times New Roman"/>
            <w:color w:val="0000FF"/>
            <w:kern w:val="0"/>
            <w:u w:val="single"/>
            <w14:ligatures w14:val="none"/>
          </w:rPr>
          <w:t>9</w:t>
        </w:r>
      </w:hyperlink>
      <w:r w:rsidRPr="00FF2D50">
        <w:rPr>
          <w:rFonts w:ascii="Times New Roman" w:eastAsia="Times New Roman" w:hAnsi="Times New Roman" w:cs="Times New Roman"/>
          <w:kern w:val="0"/>
          <w14:ligatures w14:val="none"/>
        </w:rPr>
        <w:t>&lt;/sup&gt;</w:t>
      </w:r>
    </w:p>
    <w:p w14:paraId="7CB88D74"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Genetic factors, medications such as blood thinners, other health conditions, access, cost, and personal priorities all influence whether treatment is appropriate.</w:t>
      </w:r>
    </w:p>
    <w:p w14:paraId="4F17A442"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 decision is therefore not simply “treatment or no treatment.” It is a careful conversation about possible benefit, risk, burden, uncertainty, and what matters most to the individual.</w:t>
      </w:r>
    </w:p>
    <w:p w14:paraId="59056140"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Supporting the brain and the person</w:t>
      </w:r>
    </w:p>
    <w:p w14:paraId="3E70B5F5"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Healthy habits cannot guarantee that Alzheimer’s will be prevented, and no one should be blamed for developing the disease.</w:t>
      </w:r>
    </w:p>
    <w:p w14:paraId="05014C74"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However, evidence supports protecting brain health throughout life by managing blood pressure, cholesterol, and diabetes; remaining physically active; treating hearing and vision loss; avoiding smoking; limiting harmful alcohol use; addressing depression; protecting the head from injury; and maintaining social and cognitive engagement.&lt;sup&gt;</w:t>
      </w:r>
      <w:hyperlink r:id="rId23" w:anchor="ref-5" w:history="1">
        <w:r w:rsidRPr="00FF2D50">
          <w:rPr>
            <w:rFonts w:ascii="Times New Roman" w:eastAsia="Times New Roman" w:hAnsi="Times New Roman" w:cs="Times New Roman"/>
            <w:color w:val="0000FF"/>
            <w:kern w:val="0"/>
            <w:u w:val="single"/>
            <w14:ligatures w14:val="none"/>
          </w:rPr>
          <w:t>5</w:t>
        </w:r>
      </w:hyperlink>
      <w:r w:rsidRPr="00FF2D50">
        <w:rPr>
          <w:rFonts w:ascii="Times New Roman" w:eastAsia="Times New Roman" w:hAnsi="Times New Roman" w:cs="Times New Roman"/>
          <w:kern w:val="0"/>
          <w14:ligatures w14:val="none"/>
        </w:rPr>
        <w:t>&lt;/sup&gt;</w:t>
      </w:r>
    </w:p>
    <w:p w14:paraId="1DDEA674"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 2024 Lancet Commission identified 14 potentially modifiable factors associated with dementia risk and estimated that addressing them could prevent or delay a substantial proportion of dementia cases at the population level.&lt;sup&gt;</w:t>
      </w:r>
      <w:hyperlink r:id="rId24" w:anchor="ref-5" w:history="1">
        <w:r w:rsidRPr="00FF2D50">
          <w:rPr>
            <w:rFonts w:ascii="Times New Roman" w:eastAsia="Times New Roman" w:hAnsi="Times New Roman" w:cs="Times New Roman"/>
            <w:color w:val="0000FF"/>
            <w:kern w:val="0"/>
            <w:u w:val="single"/>
            <w14:ligatures w14:val="none"/>
          </w:rPr>
          <w:t>5</w:t>
        </w:r>
      </w:hyperlink>
      <w:r w:rsidRPr="00FF2D50">
        <w:rPr>
          <w:rFonts w:ascii="Times New Roman" w:eastAsia="Times New Roman" w:hAnsi="Times New Roman" w:cs="Times New Roman"/>
          <w:kern w:val="0"/>
          <w14:ligatures w14:val="none"/>
        </w:rPr>
        <w:t>&lt;/sup&gt; This is a population estimate—not a promise that an individual case can be prevented.</w:t>
      </w:r>
    </w:p>
    <w:p w14:paraId="01A47F58"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After diagnosis, physical activity, familiar routines, good nutrition, social connection, treatment of pain and illness, hearing support, and meaningful activities can still improve health and quality of life.</w:t>
      </w:r>
    </w:p>
    <w:p w14:paraId="1EB60639"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Making daily life more manageable</w:t>
      </w:r>
    </w:p>
    <w:p w14:paraId="4819757A"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The goal is not to test the person’s memory throughout the day. It is to shape the environment so that life requires less memory to navigate.</w:t>
      </w:r>
    </w:p>
    <w:p w14:paraId="13BC9437"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Helpful approaches include:</w:t>
      </w:r>
    </w:p>
    <w:p w14:paraId="448EB768"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Keeping routines predictable</w:t>
      </w:r>
    </w:p>
    <w:p w14:paraId="321ED7D0"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Giving one instruction at a time</w:t>
      </w:r>
    </w:p>
    <w:p w14:paraId="644A27E4"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Allowing extra time for a response</w:t>
      </w:r>
    </w:p>
    <w:p w14:paraId="0BE95429"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Using calendars, photographs, labels, and written reminders</w:t>
      </w:r>
    </w:p>
    <w:p w14:paraId="114E65D0"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lastRenderedPageBreak/>
        <w:t>Reducing background noise and visual clutter</w:t>
      </w:r>
    </w:p>
    <w:p w14:paraId="07A4A9E4"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Offering limited, respectful choices</w:t>
      </w:r>
    </w:p>
    <w:p w14:paraId="531654B0"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Correcting only when safety truly requires it</w:t>
      </w:r>
    </w:p>
    <w:p w14:paraId="1ABBBB02"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Preserving familiar activities in simpler forms</w:t>
      </w:r>
    </w:p>
    <w:p w14:paraId="2F01F1C0" w14:textId="77777777" w:rsidR="00FF2D50" w:rsidRPr="00FF2D50" w:rsidRDefault="00FF2D50" w:rsidP="00FF2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Looking for pain, hunger, fatigue, fear, or illness when behavior changes</w:t>
      </w:r>
    </w:p>
    <w:p w14:paraId="78A42B2A"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Independence does not have to mean doing everything without help. It can mean continuing to participate, make choices, and retain dignity with the right level of support.&lt;sup&gt;</w:t>
      </w:r>
      <w:hyperlink r:id="rId25" w:anchor="ref-8" w:history="1">
        <w:r w:rsidRPr="00FF2D50">
          <w:rPr>
            <w:rFonts w:ascii="Times New Roman" w:eastAsia="Times New Roman" w:hAnsi="Times New Roman" w:cs="Times New Roman"/>
            <w:color w:val="0000FF"/>
            <w:kern w:val="0"/>
            <w:u w:val="single"/>
            <w14:ligatures w14:val="none"/>
          </w:rPr>
          <w:t>8</w:t>
        </w:r>
      </w:hyperlink>
      <w:r w:rsidRPr="00FF2D50">
        <w:rPr>
          <w:rFonts w:ascii="Times New Roman" w:eastAsia="Times New Roman" w:hAnsi="Times New Roman" w:cs="Times New Roman"/>
          <w:kern w:val="0"/>
          <w14:ligatures w14:val="none"/>
        </w:rPr>
        <w:t>&lt;/sup&gt;</w:t>
      </w:r>
    </w:p>
    <w:p w14:paraId="4D18D0FC"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For families and caregivers</w:t>
      </w:r>
    </w:p>
    <w:p w14:paraId="4C162E96"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Alzheimer’s affects relationships as well as memory. A partner may gradually become a caregiver. An adult child may begin making decisions for a parent who once made decisions for them. Families may experience grief long before death while still sharing moments of affection, humor, recognition, and meaning.</w:t>
      </w:r>
    </w:p>
    <w:p w14:paraId="0A05FE92"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Caregivers need care too. Chronic stress, interrupted sleep, isolation, and physical demands can harm health. Accepting help is not abandonment. Respite care, support groups, counseling, legal and financial planning, and shared responsibility can make caregiving more sustainable.&lt;sup&gt;</w:t>
      </w:r>
      <w:hyperlink r:id="rId26" w:anchor="ref-8" w:history="1">
        <w:r w:rsidRPr="00FF2D50">
          <w:rPr>
            <w:rFonts w:ascii="Times New Roman" w:eastAsia="Times New Roman" w:hAnsi="Times New Roman" w:cs="Times New Roman"/>
            <w:color w:val="0000FF"/>
            <w:kern w:val="0"/>
            <w:u w:val="single"/>
            <w14:ligatures w14:val="none"/>
          </w:rPr>
          <w:t>8</w:t>
        </w:r>
      </w:hyperlink>
      <w:r w:rsidRPr="00FF2D50">
        <w:rPr>
          <w:rFonts w:ascii="Times New Roman" w:eastAsia="Times New Roman" w:hAnsi="Times New Roman" w:cs="Times New Roman"/>
          <w:kern w:val="0"/>
          <w14:ligatures w14:val="none"/>
        </w:rPr>
        <w:t>&lt;/sup&gt;</w:t>
      </w:r>
    </w:p>
    <w:p w14:paraId="2303E4DB"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No one should have to carry the entire disease alone.</w:t>
      </w:r>
    </w:p>
    <w:p w14:paraId="676F79C7"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The person remains</w:t>
      </w:r>
    </w:p>
    <w:p w14:paraId="3A9FA76D"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Alzheimer’s can take away memories, language, independence, and familiar ways of relating. But a diagnosis is never the whole of a person.</w:t>
      </w:r>
    </w:p>
    <w:p w14:paraId="19E6DC2A"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Preferences still matter. Comfort matters. Music, beauty, laughter, nature, touch, and companionship still matter. The person remains worthy of being addressed directly, included in decisions, protected from humiliation, and understood with patience.</w:t>
      </w:r>
    </w:p>
    <w:p w14:paraId="4898E962"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Science is learning to identify Alzheimer’s earlier and slow it more effectively. Just as importantly, care is learning to see the person inside the disease.</w:t>
      </w:r>
    </w:p>
    <w:p w14:paraId="2D3E424C"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Understanding the brain helps us respond more wisely. Understanding the person helps us respond more kindly.</w:t>
      </w:r>
    </w:p>
    <w:p w14:paraId="48823473" w14:textId="77777777" w:rsidR="00FF2D50" w:rsidRPr="00FF2D50" w:rsidRDefault="000B10B7" w:rsidP="00FF2D50">
      <w:pPr>
        <w:spacing w:after="0" w:line="240" w:lineRule="auto"/>
        <w:rPr>
          <w:rFonts w:ascii="Times New Roman" w:eastAsia="Times New Roman" w:hAnsi="Times New Roman" w:cs="Times New Roman"/>
          <w:kern w:val="0"/>
          <w14:ligatures w14:val="none"/>
        </w:rPr>
      </w:pPr>
      <w:r w:rsidRPr="000B10B7">
        <w:rPr>
          <w:rFonts w:ascii="Times New Roman" w:eastAsia="Times New Roman" w:hAnsi="Times New Roman" w:cs="Times New Roman"/>
          <w:noProof/>
          <w:kern w:val="0"/>
        </w:rPr>
        <w:pict w14:anchorId="5A86FBA7">
          <v:rect id="_x0000_i1026" alt="" style="width:468pt;height:.05pt;mso-width-percent:0;mso-height-percent:0;mso-width-percent:0;mso-height-percent:0" o:hralign="center" o:hrstd="t" o:hr="t" fillcolor="#a0a0a0" stroked="f"/>
        </w:pict>
      </w:r>
    </w:p>
    <w:p w14:paraId="46230D9F" w14:textId="77777777" w:rsidR="00FF2D50" w:rsidRPr="00FF2D50" w:rsidRDefault="00FF2D50" w:rsidP="00FF2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D50">
        <w:rPr>
          <w:rFonts w:ascii="Times New Roman" w:eastAsia="Times New Roman" w:hAnsi="Times New Roman" w:cs="Times New Roman"/>
          <w:b/>
          <w:bCs/>
          <w:kern w:val="0"/>
          <w:sz w:val="36"/>
          <w:szCs w:val="36"/>
          <w14:ligatures w14:val="none"/>
        </w:rPr>
        <w:t>References</w:t>
      </w:r>
    </w:p>
    <w:p w14:paraId="49CE718A"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id="ref-1"&gt;&lt;/span&gt;</w:t>
      </w:r>
      <w:r w:rsidRPr="00FF2D50">
        <w:rPr>
          <w:rFonts w:ascii="Times New Roman" w:eastAsia="Times New Roman" w:hAnsi="Times New Roman" w:cs="Times New Roman"/>
          <w:b/>
          <w:bCs/>
          <w:kern w:val="0"/>
          <w14:ligatures w14:val="none"/>
        </w:rPr>
        <w:t>1.</w:t>
      </w:r>
      <w:r w:rsidRPr="00FF2D50">
        <w:rPr>
          <w:rFonts w:ascii="Times New Roman" w:eastAsia="Times New Roman" w:hAnsi="Times New Roman" w:cs="Times New Roman"/>
          <w:kern w:val="0"/>
          <w14:ligatures w14:val="none"/>
        </w:rPr>
        <w:t xml:space="preserve"> Jack, C. R., Jr., Andrews, J. S., Beach, T. G., et al. (2024). Revised criteria for diagnosis and staging of Alzheimer’s disease: Alzheimer’s Association Workgroup. </w:t>
      </w:r>
      <w:r w:rsidRPr="00FF2D50">
        <w:rPr>
          <w:rFonts w:ascii="Times New Roman" w:eastAsia="Times New Roman" w:hAnsi="Times New Roman" w:cs="Times New Roman"/>
          <w:i/>
          <w:iCs/>
          <w:kern w:val="0"/>
          <w14:ligatures w14:val="none"/>
        </w:rPr>
        <w:t>Alzheimer’s &amp; Dementia, 20</w:t>
      </w:r>
      <w:r w:rsidRPr="00FF2D50">
        <w:rPr>
          <w:rFonts w:ascii="Times New Roman" w:eastAsia="Times New Roman" w:hAnsi="Times New Roman" w:cs="Times New Roman"/>
          <w:kern w:val="0"/>
          <w14:ligatures w14:val="none"/>
        </w:rPr>
        <w:t xml:space="preserve">(8), 5143–5169. </w:t>
      </w:r>
      <w:hyperlink r:id="rId27" w:history="1">
        <w:r w:rsidRPr="00FF2D50">
          <w:rPr>
            <w:rFonts w:ascii="Times New Roman" w:eastAsia="Times New Roman" w:hAnsi="Times New Roman" w:cs="Times New Roman"/>
            <w:color w:val="0000FF"/>
            <w:kern w:val="0"/>
            <w:u w:val="single"/>
            <w14:ligatures w14:val="none"/>
          </w:rPr>
          <w:t>https://doi.org/10.1002/alz.13859</w:t>
        </w:r>
      </w:hyperlink>
    </w:p>
    <w:p w14:paraId="0FE6A0BD"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lastRenderedPageBreak/>
        <w:t>&lt;span id="ref-2"&gt;&lt;/span&gt;</w:t>
      </w:r>
      <w:r w:rsidRPr="00FF2D50">
        <w:rPr>
          <w:rFonts w:ascii="Times New Roman" w:eastAsia="Times New Roman" w:hAnsi="Times New Roman" w:cs="Times New Roman"/>
          <w:b/>
          <w:bCs/>
          <w:kern w:val="0"/>
          <w14:ligatures w14:val="none"/>
        </w:rPr>
        <w:t>2.</w:t>
      </w:r>
      <w:r w:rsidRPr="00FF2D50">
        <w:rPr>
          <w:rFonts w:ascii="Times New Roman" w:eastAsia="Times New Roman" w:hAnsi="Times New Roman" w:cs="Times New Roman"/>
          <w:kern w:val="0"/>
          <w14:ligatures w14:val="none"/>
        </w:rPr>
        <w:t xml:space="preserve"> van Dyck, C. H., Swanson, C. J., Aisen, P., et al. (2023). Lecanemab in early Alzheimer’s disease. </w:t>
      </w:r>
      <w:r w:rsidRPr="00FF2D50">
        <w:rPr>
          <w:rFonts w:ascii="Times New Roman" w:eastAsia="Times New Roman" w:hAnsi="Times New Roman" w:cs="Times New Roman"/>
          <w:i/>
          <w:iCs/>
          <w:kern w:val="0"/>
          <w14:ligatures w14:val="none"/>
        </w:rPr>
        <w:t>The New England Journal of Medicine, 388</w:t>
      </w:r>
      <w:r w:rsidRPr="00FF2D50">
        <w:rPr>
          <w:rFonts w:ascii="Times New Roman" w:eastAsia="Times New Roman" w:hAnsi="Times New Roman" w:cs="Times New Roman"/>
          <w:kern w:val="0"/>
          <w14:ligatures w14:val="none"/>
        </w:rPr>
        <w:t xml:space="preserve">, 9–21. </w:t>
      </w:r>
      <w:hyperlink r:id="rId28" w:history="1">
        <w:r w:rsidRPr="00FF2D50">
          <w:rPr>
            <w:rFonts w:ascii="Times New Roman" w:eastAsia="Times New Roman" w:hAnsi="Times New Roman" w:cs="Times New Roman"/>
            <w:color w:val="0000FF"/>
            <w:kern w:val="0"/>
            <w:u w:val="single"/>
            <w14:ligatures w14:val="none"/>
          </w:rPr>
          <w:t>https://doi.org/10.1056/NEJMoa2212948</w:t>
        </w:r>
      </w:hyperlink>
    </w:p>
    <w:p w14:paraId="1DB131D4"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id="ref-3"&gt;&lt;/span&gt;</w:t>
      </w:r>
      <w:r w:rsidRPr="00FF2D50">
        <w:rPr>
          <w:rFonts w:ascii="Times New Roman" w:eastAsia="Times New Roman" w:hAnsi="Times New Roman" w:cs="Times New Roman"/>
          <w:b/>
          <w:bCs/>
          <w:kern w:val="0"/>
          <w14:ligatures w14:val="none"/>
        </w:rPr>
        <w:t>3.</w:t>
      </w:r>
      <w:r w:rsidRPr="00FF2D50">
        <w:rPr>
          <w:rFonts w:ascii="Times New Roman" w:eastAsia="Times New Roman" w:hAnsi="Times New Roman" w:cs="Times New Roman"/>
          <w:kern w:val="0"/>
          <w14:ligatures w14:val="none"/>
        </w:rPr>
        <w:t xml:space="preserve"> Sims, J. R., Zimmer, J. A., Evans, C. D., et al. (2023). Donanemab in early symptomatic Alzheimer disease: The TRAILBLAZER-ALZ 2 randomized clinical trial. </w:t>
      </w:r>
      <w:r w:rsidRPr="00FF2D50">
        <w:rPr>
          <w:rFonts w:ascii="Times New Roman" w:eastAsia="Times New Roman" w:hAnsi="Times New Roman" w:cs="Times New Roman"/>
          <w:i/>
          <w:iCs/>
          <w:kern w:val="0"/>
          <w14:ligatures w14:val="none"/>
        </w:rPr>
        <w:t>JAMA, 330</w:t>
      </w:r>
      <w:r w:rsidRPr="00FF2D50">
        <w:rPr>
          <w:rFonts w:ascii="Times New Roman" w:eastAsia="Times New Roman" w:hAnsi="Times New Roman" w:cs="Times New Roman"/>
          <w:kern w:val="0"/>
          <w14:ligatures w14:val="none"/>
        </w:rPr>
        <w:t xml:space="preserve">(6), 512–527. </w:t>
      </w:r>
      <w:hyperlink r:id="rId29" w:history="1">
        <w:r w:rsidRPr="00FF2D50">
          <w:rPr>
            <w:rFonts w:ascii="Times New Roman" w:eastAsia="Times New Roman" w:hAnsi="Times New Roman" w:cs="Times New Roman"/>
            <w:color w:val="0000FF"/>
            <w:kern w:val="0"/>
            <w:u w:val="single"/>
            <w14:ligatures w14:val="none"/>
          </w:rPr>
          <w:t>https://doi.org/10.1001/jama.2023.13239</w:t>
        </w:r>
      </w:hyperlink>
    </w:p>
    <w:p w14:paraId="31D14A37"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id="ref-4"&gt;&lt;/span&gt;</w:t>
      </w:r>
      <w:r w:rsidRPr="00FF2D50">
        <w:rPr>
          <w:rFonts w:ascii="Times New Roman" w:eastAsia="Times New Roman" w:hAnsi="Times New Roman" w:cs="Times New Roman"/>
          <w:b/>
          <w:bCs/>
          <w:kern w:val="0"/>
          <w14:ligatures w14:val="none"/>
        </w:rPr>
        <w:t>4.</w:t>
      </w:r>
      <w:r w:rsidRPr="00FF2D50">
        <w:rPr>
          <w:rFonts w:ascii="Times New Roman" w:eastAsia="Times New Roman" w:hAnsi="Times New Roman" w:cs="Times New Roman"/>
          <w:kern w:val="0"/>
          <w14:ligatures w14:val="none"/>
        </w:rPr>
        <w:t xml:space="preserve"> Palmqvist, S., Whitson, H. E., Cummings, J., et al. (2025). Alzheimer’s Association clinical practice guideline on the use of blood-based biomarkers in the diagnostic workup of suspected Alzheimer’s disease within specialized care settings. </w:t>
      </w:r>
      <w:r w:rsidRPr="00FF2D50">
        <w:rPr>
          <w:rFonts w:ascii="Times New Roman" w:eastAsia="Times New Roman" w:hAnsi="Times New Roman" w:cs="Times New Roman"/>
          <w:i/>
          <w:iCs/>
          <w:kern w:val="0"/>
          <w14:ligatures w14:val="none"/>
        </w:rPr>
        <w:t>Alzheimer’s &amp; Dementia</w:t>
      </w:r>
      <w:r w:rsidRPr="00FF2D50">
        <w:rPr>
          <w:rFonts w:ascii="Times New Roman" w:eastAsia="Times New Roman" w:hAnsi="Times New Roman" w:cs="Times New Roman"/>
          <w:kern w:val="0"/>
          <w14:ligatures w14:val="none"/>
        </w:rPr>
        <w:t xml:space="preserve">. </w:t>
      </w:r>
      <w:hyperlink r:id="rId30" w:history="1">
        <w:r w:rsidRPr="00FF2D50">
          <w:rPr>
            <w:rFonts w:ascii="Times New Roman" w:eastAsia="Times New Roman" w:hAnsi="Times New Roman" w:cs="Times New Roman"/>
            <w:color w:val="0000FF"/>
            <w:kern w:val="0"/>
            <w:u w:val="single"/>
            <w14:ligatures w14:val="none"/>
          </w:rPr>
          <w:t>https://doi.org/10.1002/alz.70535</w:t>
        </w:r>
      </w:hyperlink>
    </w:p>
    <w:p w14:paraId="4518DC4C"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id="ref-5"&gt;&lt;/span&gt;</w:t>
      </w:r>
      <w:r w:rsidRPr="00FF2D50">
        <w:rPr>
          <w:rFonts w:ascii="Times New Roman" w:eastAsia="Times New Roman" w:hAnsi="Times New Roman" w:cs="Times New Roman"/>
          <w:b/>
          <w:bCs/>
          <w:kern w:val="0"/>
          <w14:ligatures w14:val="none"/>
        </w:rPr>
        <w:t>5.</w:t>
      </w:r>
      <w:r w:rsidRPr="00FF2D50">
        <w:rPr>
          <w:rFonts w:ascii="Times New Roman" w:eastAsia="Times New Roman" w:hAnsi="Times New Roman" w:cs="Times New Roman"/>
          <w:kern w:val="0"/>
          <w14:ligatures w14:val="none"/>
        </w:rPr>
        <w:t xml:space="preserve"> Livingston, G., Huntley, J., Liu, K. Y., et al. (2024). Dementia prevention, intervention, and care: 2024 report of the Lancet Standing Commission. </w:t>
      </w:r>
      <w:r w:rsidRPr="00FF2D50">
        <w:rPr>
          <w:rFonts w:ascii="Times New Roman" w:eastAsia="Times New Roman" w:hAnsi="Times New Roman" w:cs="Times New Roman"/>
          <w:i/>
          <w:iCs/>
          <w:kern w:val="0"/>
          <w14:ligatures w14:val="none"/>
        </w:rPr>
        <w:t>The Lancet, 404</w:t>
      </w:r>
      <w:r w:rsidRPr="00FF2D50">
        <w:rPr>
          <w:rFonts w:ascii="Times New Roman" w:eastAsia="Times New Roman" w:hAnsi="Times New Roman" w:cs="Times New Roman"/>
          <w:kern w:val="0"/>
          <w14:ligatures w14:val="none"/>
        </w:rPr>
        <w:t xml:space="preserve">(10452), 572–628. </w:t>
      </w:r>
      <w:hyperlink r:id="rId31" w:history="1">
        <w:r w:rsidRPr="00FF2D50">
          <w:rPr>
            <w:rFonts w:ascii="Times New Roman" w:eastAsia="Times New Roman" w:hAnsi="Times New Roman" w:cs="Times New Roman"/>
            <w:color w:val="0000FF"/>
            <w:kern w:val="0"/>
            <w:u w:val="single"/>
            <w14:ligatures w14:val="none"/>
          </w:rPr>
          <w:t>https://doi.org/10.1016/S0140-6736(24)01296-0</w:t>
        </w:r>
      </w:hyperlink>
    </w:p>
    <w:p w14:paraId="65C831EA"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id="ref-6"&gt;&lt;/span&gt;</w:t>
      </w:r>
      <w:r w:rsidRPr="00FF2D50">
        <w:rPr>
          <w:rFonts w:ascii="Times New Roman" w:eastAsia="Times New Roman" w:hAnsi="Times New Roman" w:cs="Times New Roman"/>
          <w:b/>
          <w:bCs/>
          <w:kern w:val="0"/>
          <w14:ligatures w14:val="none"/>
        </w:rPr>
        <w:t>6.</w:t>
      </w:r>
      <w:r w:rsidRPr="00FF2D50">
        <w:rPr>
          <w:rFonts w:ascii="Times New Roman" w:eastAsia="Times New Roman" w:hAnsi="Times New Roman" w:cs="Times New Roman"/>
          <w:kern w:val="0"/>
          <w14:ligatures w14:val="none"/>
        </w:rPr>
        <w:t xml:space="preserve"> National Institute on Aging. (2024). </w:t>
      </w:r>
      <w:r w:rsidRPr="00FF2D50">
        <w:rPr>
          <w:rFonts w:ascii="Times New Roman" w:eastAsia="Times New Roman" w:hAnsi="Times New Roman" w:cs="Times New Roman"/>
          <w:i/>
          <w:iCs/>
          <w:kern w:val="0"/>
          <w14:ligatures w14:val="none"/>
        </w:rPr>
        <w:t>What happens to the brain in Alzheimer’s disease?</w:t>
      </w:r>
      <w:r w:rsidRPr="00FF2D50">
        <w:rPr>
          <w:rFonts w:ascii="Times New Roman" w:eastAsia="Times New Roman" w:hAnsi="Times New Roman" w:cs="Times New Roman"/>
          <w:kern w:val="0"/>
          <w14:ligatures w14:val="none"/>
        </w:rPr>
        <w:t xml:space="preserve"> U.S. National Institutes of Health. </w:t>
      </w:r>
      <w:hyperlink r:id="rId32" w:history="1">
        <w:r w:rsidRPr="00FF2D50">
          <w:rPr>
            <w:rFonts w:ascii="Times New Roman" w:eastAsia="Times New Roman" w:hAnsi="Times New Roman" w:cs="Times New Roman"/>
            <w:color w:val="0000FF"/>
            <w:kern w:val="0"/>
            <w:u w:val="single"/>
            <w14:ligatures w14:val="none"/>
          </w:rPr>
          <w:t>https://www.nia.nih.gov/health/alzheimers-causes-and-risk-factors/what-happens-brain-alzheimers-disease</w:t>
        </w:r>
      </w:hyperlink>
    </w:p>
    <w:p w14:paraId="4C2FC3D6"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id="ref-7"&gt;&lt;/span&gt;</w:t>
      </w:r>
      <w:r w:rsidRPr="00FF2D50">
        <w:rPr>
          <w:rFonts w:ascii="Times New Roman" w:eastAsia="Times New Roman" w:hAnsi="Times New Roman" w:cs="Times New Roman"/>
          <w:b/>
          <w:bCs/>
          <w:kern w:val="0"/>
          <w14:ligatures w14:val="none"/>
        </w:rPr>
        <w:t>7.</w:t>
      </w:r>
      <w:r w:rsidRPr="00FF2D50">
        <w:rPr>
          <w:rFonts w:ascii="Times New Roman" w:eastAsia="Times New Roman" w:hAnsi="Times New Roman" w:cs="Times New Roman"/>
          <w:kern w:val="0"/>
          <w14:ligatures w14:val="none"/>
        </w:rPr>
        <w:t xml:space="preserve"> National Institute on Aging. </w:t>
      </w:r>
      <w:r w:rsidRPr="00FF2D50">
        <w:rPr>
          <w:rFonts w:ascii="Times New Roman" w:eastAsia="Times New Roman" w:hAnsi="Times New Roman" w:cs="Times New Roman"/>
          <w:i/>
          <w:iCs/>
          <w:kern w:val="0"/>
          <w14:ligatures w14:val="none"/>
        </w:rPr>
        <w:t>Alzheimer’s disease fact sheet.</w:t>
      </w:r>
      <w:r w:rsidRPr="00FF2D50">
        <w:rPr>
          <w:rFonts w:ascii="Times New Roman" w:eastAsia="Times New Roman" w:hAnsi="Times New Roman" w:cs="Times New Roman"/>
          <w:kern w:val="0"/>
          <w14:ligatures w14:val="none"/>
        </w:rPr>
        <w:t xml:space="preserve"> U.S. National Institutes of Health. </w:t>
      </w:r>
      <w:hyperlink r:id="rId33" w:history="1">
        <w:r w:rsidRPr="00FF2D50">
          <w:rPr>
            <w:rFonts w:ascii="Times New Roman" w:eastAsia="Times New Roman" w:hAnsi="Times New Roman" w:cs="Times New Roman"/>
            <w:color w:val="0000FF"/>
            <w:kern w:val="0"/>
            <w:u w:val="single"/>
            <w14:ligatures w14:val="none"/>
          </w:rPr>
          <w:t>https://www.nia.nih.gov/health/alzheimers-disease-fact-sheet</w:t>
        </w:r>
      </w:hyperlink>
    </w:p>
    <w:p w14:paraId="5F78BCCF"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id="ref-8"&gt;&lt;/span&gt;</w:t>
      </w:r>
      <w:r w:rsidRPr="00FF2D50">
        <w:rPr>
          <w:rFonts w:ascii="Times New Roman" w:eastAsia="Times New Roman" w:hAnsi="Times New Roman" w:cs="Times New Roman"/>
          <w:b/>
          <w:bCs/>
          <w:kern w:val="0"/>
          <w14:ligatures w14:val="none"/>
        </w:rPr>
        <w:t>8.</w:t>
      </w:r>
      <w:r w:rsidRPr="00FF2D50">
        <w:rPr>
          <w:rFonts w:ascii="Times New Roman" w:eastAsia="Times New Roman" w:hAnsi="Times New Roman" w:cs="Times New Roman"/>
          <w:kern w:val="0"/>
          <w14:ligatures w14:val="none"/>
        </w:rPr>
        <w:t xml:space="preserve"> National Institute on Aging. </w:t>
      </w:r>
      <w:r w:rsidRPr="00FF2D50">
        <w:rPr>
          <w:rFonts w:ascii="Times New Roman" w:eastAsia="Times New Roman" w:hAnsi="Times New Roman" w:cs="Times New Roman"/>
          <w:i/>
          <w:iCs/>
          <w:kern w:val="0"/>
          <w14:ligatures w14:val="none"/>
        </w:rPr>
        <w:t>Alzheimer’s caregiving.</w:t>
      </w:r>
      <w:r w:rsidRPr="00FF2D50">
        <w:rPr>
          <w:rFonts w:ascii="Times New Roman" w:eastAsia="Times New Roman" w:hAnsi="Times New Roman" w:cs="Times New Roman"/>
          <w:kern w:val="0"/>
          <w14:ligatures w14:val="none"/>
        </w:rPr>
        <w:t xml:space="preserve"> U.S. National Institutes of Health. </w:t>
      </w:r>
      <w:hyperlink r:id="rId34" w:history="1">
        <w:r w:rsidRPr="00FF2D50">
          <w:rPr>
            <w:rFonts w:ascii="Times New Roman" w:eastAsia="Times New Roman" w:hAnsi="Times New Roman" w:cs="Times New Roman"/>
            <w:color w:val="0000FF"/>
            <w:kern w:val="0"/>
            <w:u w:val="single"/>
            <w14:ligatures w14:val="none"/>
          </w:rPr>
          <w:t>https://www.nia.nih.gov/health/alzheimers-caregiving</w:t>
        </w:r>
      </w:hyperlink>
    </w:p>
    <w:p w14:paraId="35F049C3"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id="ref-9"&gt;&lt;/span&gt;</w:t>
      </w:r>
      <w:r w:rsidRPr="00FF2D50">
        <w:rPr>
          <w:rFonts w:ascii="Times New Roman" w:eastAsia="Times New Roman" w:hAnsi="Times New Roman" w:cs="Times New Roman"/>
          <w:b/>
          <w:bCs/>
          <w:kern w:val="0"/>
          <w14:ligatures w14:val="none"/>
        </w:rPr>
        <w:t>9.</w:t>
      </w:r>
      <w:r w:rsidRPr="00FF2D50">
        <w:rPr>
          <w:rFonts w:ascii="Times New Roman" w:eastAsia="Times New Roman" w:hAnsi="Times New Roman" w:cs="Times New Roman"/>
          <w:kern w:val="0"/>
          <w14:ligatures w14:val="none"/>
        </w:rPr>
        <w:t xml:space="preserve"> U.S. Food and Drug Administration. (2024). </w:t>
      </w:r>
      <w:r w:rsidRPr="00FF2D50">
        <w:rPr>
          <w:rFonts w:ascii="Times New Roman" w:eastAsia="Times New Roman" w:hAnsi="Times New Roman" w:cs="Times New Roman"/>
          <w:i/>
          <w:iCs/>
          <w:kern w:val="0"/>
          <w14:ligatures w14:val="none"/>
        </w:rPr>
        <w:t>FDA approves treatment for adults with Alzheimer’s disease.</w:t>
      </w:r>
      <w:r w:rsidRPr="00FF2D50">
        <w:rPr>
          <w:rFonts w:ascii="Times New Roman" w:eastAsia="Times New Roman" w:hAnsi="Times New Roman" w:cs="Times New Roman"/>
          <w:kern w:val="0"/>
          <w14:ligatures w14:val="none"/>
        </w:rPr>
        <w:t xml:space="preserve"> </w:t>
      </w:r>
      <w:hyperlink r:id="rId35" w:history="1">
        <w:r w:rsidRPr="00FF2D50">
          <w:rPr>
            <w:rFonts w:ascii="Times New Roman" w:eastAsia="Times New Roman" w:hAnsi="Times New Roman" w:cs="Times New Roman"/>
            <w:color w:val="0000FF"/>
            <w:kern w:val="0"/>
            <w:u w:val="single"/>
            <w14:ligatures w14:val="none"/>
          </w:rPr>
          <w:t>https://www.fda.gov/drugs/news-events-human-drugs/fda-approves-treatment-adults-alzheimers-disease</w:t>
        </w:r>
      </w:hyperlink>
    </w:p>
    <w:p w14:paraId="5E4A7B48"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kern w:val="0"/>
          <w14:ligatures w14:val="none"/>
        </w:rPr>
        <w:t>&lt;span id="ref-10"&gt;&lt;/span&gt;</w:t>
      </w:r>
      <w:r w:rsidRPr="00FF2D50">
        <w:rPr>
          <w:rFonts w:ascii="Times New Roman" w:eastAsia="Times New Roman" w:hAnsi="Times New Roman" w:cs="Times New Roman"/>
          <w:b/>
          <w:bCs/>
          <w:kern w:val="0"/>
          <w14:ligatures w14:val="none"/>
        </w:rPr>
        <w:t>10.</w:t>
      </w:r>
      <w:r w:rsidRPr="00FF2D50">
        <w:rPr>
          <w:rFonts w:ascii="Times New Roman" w:eastAsia="Times New Roman" w:hAnsi="Times New Roman" w:cs="Times New Roman"/>
          <w:kern w:val="0"/>
          <w14:ligatures w14:val="none"/>
        </w:rPr>
        <w:t xml:space="preserve"> U.S. Food and Drug Administration. (2025). </w:t>
      </w:r>
      <w:r w:rsidRPr="00FF2D50">
        <w:rPr>
          <w:rFonts w:ascii="Times New Roman" w:eastAsia="Times New Roman" w:hAnsi="Times New Roman" w:cs="Times New Roman"/>
          <w:i/>
          <w:iCs/>
          <w:kern w:val="0"/>
          <w14:ligatures w14:val="none"/>
        </w:rPr>
        <w:t>FDA clears first blood test used in diagnosing Alzheimer’s disease.</w:t>
      </w:r>
      <w:r w:rsidRPr="00FF2D50">
        <w:rPr>
          <w:rFonts w:ascii="Times New Roman" w:eastAsia="Times New Roman" w:hAnsi="Times New Roman" w:cs="Times New Roman"/>
          <w:kern w:val="0"/>
          <w14:ligatures w14:val="none"/>
        </w:rPr>
        <w:t xml:space="preserve"> </w:t>
      </w:r>
      <w:hyperlink r:id="rId36" w:history="1">
        <w:r w:rsidRPr="00FF2D50">
          <w:rPr>
            <w:rFonts w:ascii="Times New Roman" w:eastAsia="Times New Roman" w:hAnsi="Times New Roman" w:cs="Times New Roman"/>
            <w:color w:val="0000FF"/>
            <w:kern w:val="0"/>
            <w:u w:val="single"/>
            <w14:ligatures w14:val="none"/>
          </w:rPr>
          <w:t>https://www.fda.gov/news-events/press-announcements/fda-clears-first-blood-test-used-diagnosing-alzheimers-disease</w:t>
        </w:r>
      </w:hyperlink>
    </w:p>
    <w:p w14:paraId="6A6850E5" w14:textId="77777777" w:rsidR="00FF2D50" w:rsidRPr="00FF2D50" w:rsidRDefault="000B10B7" w:rsidP="00FF2D50">
      <w:pPr>
        <w:spacing w:after="0" w:line="240" w:lineRule="auto"/>
        <w:rPr>
          <w:rFonts w:ascii="Times New Roman" w:eastAsia="Times New Roman" w:hAnsi="Times New Roman" w:cs="Times New Roman"/>
          <w:kern w:val="0"/>
          <w14:ligatures w14:val="none"/>
        </w:rPr>
      </w:pPr>
      <w:r>
        <w:rPr>
          <w:noProof/>
        </w:rPr>
      </w:r>
      <w:r>
        <w:pict w14:anchorId="374AB8EC">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F455EE" w14:textId="77777777" w:rsidR="00FF2D50" w:rsidRPr="00FF2D50" w:rsidRDefault="00FF2D50" w:rsidP="00FF2D50">
      <w:pPr>
        <w:spacing w:before="100" w:beforeAutospacing="1" w:after="100" w:afterAutospacing="1" w:line="240" w:lineRule="auto"/>
        <w:rPr>
          <w:rFonts w:ascii="Times New Roman" w:eastAsia="Times New Roman" w:hAnsi="Times New Roman" w:cs="Times New Roman"/>
          <w:kern w:val="0"/>
          <w14:ligatures w14:val="none"/>
        </w:rPr>
      </w:pPr>
      <w:r w:rsidRPr="00FF2D50">
        <w:rPr>
          <w:rFonts w:ascii="Times New Roman" w:eastAsia="Times New Roman" w:hAnsi="Times New Roman" w:cs="Times New Roman"/>
          <w:i/>
          <w:iCs/>
          <w:kern w:val="0"/>
          <w14:ligatures w14:val="none"/>
        </w:rPr>
        <w:t>Medical note: This article is for educational purposes and is not a substitute for individualized medical advice. New or worsening changes in memory, thinking, behavior, or daily functioning should be evaluated by a qualified healthcare professional. Sudden confusion requires prompt medical attention.</w:t>
      </w:r>
    </w:p>
    <w:p w14:paraId="283A7EF8" w14:textId="77777777" w:rsidR="00431F37" w:rsidRDefault="00431F37"/>
    <w:sectPr w:rsidR="00431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247CA1"/>
    <w:multiLevelType w:val="multilevel"/>
    <w:tmpl w:val="06B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A5C35"/>
    <w:multiLevelType w:val="multilevel"/>
    <w:tmpl w:val="5C2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33B28"/>
    <w:multiLevelType w:val="multilevel"/>
    <w:tmpl w:val="417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602285">
    <w:abstractNumId w:val="0"/>
  </w:num>
  <w:num w:numId="2" w16cid:durableId="1638339294">
    <w:abstractNumId w:val="1"/>
  </w:num>
  <w:num w:numId="3" w16cid:durableId="148681873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D50"/>
    <w:rsid w:val="000B10B7"/>
    <w:rsid w:val="00431F37"/>
    <w:rsid w:val="009A60DF"/>
    <w:rsid w:val="00A77513"/>
    <w:rsid w:val="00B428B3"/>
    <w:rsid w:val="00E41566"/>
    <w:rsid w:val="00FF2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0D6AD49"/>
  <w15:chartTrackingRefBased/>
  <w15:docId w15:val="{851573A0-433B-8C4A-A8C6-576B535C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2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2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D50"/>
    <w:rPr>
      <w:rFonts w:eastAsiaTheme="majorEastAsia" w:cstheme="majorBidi"/>
      <w:color w:val="272727" w:themeColor="text1" w:themeTint="D8"/>
    </w:rPr>
  </w:style>
  <w:style w:type="paragraph" w:styleId="Title">
    <w:name w:val="Title"/>
    <w:basedOn w:val="Normal"/>
    <w:next w:val="Normal"/>
    <w:link w:val="TitleChar"/>
    <w:uiPriority w:val="10"/>
    <w:qFormat/>
    <w:rsid w:val="00FF2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D50"/>
    <w:pPr>
      <w:spacing w:before="160"/>
      <w:jc w:val="center"/>
    </w:pPr>
    <w:rPr>
      <w:i/>
      <w:iCs/>
      <w:color w:val="404040" w:themeColor="text1" w:themeTint="BF"/>
    </w:rPr>
  </w:style>
  <w:style w:type="character" w:customStyle="1" w:styleId="QuoteChar">
    <w:name w:val="Quote Char"/>
    <w:basedOn w:val="DefaultParagraphFont"/>
    <w:link w:val="Quote"/>
    <w:uiPriority w:val="29"/>
    <w:rsid w:val="00FF2D50"/>
    <w:rPr>
      <w:i/>
      <w:iCs/>
      <w:color w:val="404040" w:themeColor="text1" w:themeTint="BF"/>
    </w:rPr>
  </w:style>
  <w:style w:type="paragraph" w:styleId="ListParagraph">
    <w:name w:val="List Paragraph"/>
    <w:basedOn w:val="Normal"/>
    <w:uiPriority w:val="34"/>
    <w:qFormat/>
    <w:rsid w:val="00FF2D50"/>
    <w:pPr>
      <w:ind w:left="720"/>
      <w:contextualSpacing/>
    </w:pPr>
  </w:style>
  <w:style w:type="character" w:styleId="IntenseEmphasis">
    <w:name w:val="Intense Emphasis"/>
    <w:basedOn w:val="DefaultParagraphFont"/>
    <w:uiPriority w:val="21"/>
    <w:qFormat/>
    <w:rsid w:val="00FF2D50"/>
    <w:rPr>
      <w:i/>
      <w:iCs/>
      <w:color w:val="0F4761" w:themeColor="accent1" w:themeShade="BF"/>
    </w:rPr>
  </w:style>
  <w:style w:type="paragraph" w:styleId="IntenseQuote">
    <w:name w:val="Intense Quote"/>
    <w:basedOn w:val="Normal"/>
    <w:next w:val="Normal"/>
    <w:link w:val="IntenseQuoteChar"/>
    <w:uiPriority w:val="30"/>
    <w:qFormat/>
    <w:rsid w:val="00FF2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D50"/>
    <w:rPr>
      <w:i/>
      <w:iCs/>
      <w:color w:val="0F4761" w:themeColor="accent1" w:themeShade="BF"/>
    </w:rPr>
  </w:style>
  <w:style w:type="character" w:styleId="IntenseReference">
    <w:name w:val="Intense Reference"/>
    <w:basedOn w:val="DefaultParagraphFont"/>
    <w:uiPriority w:val="32"/>
    <w:qFormat/>
    <w:rsid w:val="00FF2D50"/>
    <w:rPr>
      <w:b/>
      <w:bCs/>
      <w:smallCaps/>
      <w:color w:val="0F4761" w:themeColor="accent1" w:themeShade="BF"/>
      <w:spacing w:val="5"/>
    </w:rPr>
  </w:style>
  <w:style w:type="paragraph" w:styleId="NormalWeb">
    <w:name w:val="Normal (Web)"/>
    <w:basedOn w:val="Normal"/>
    <w:uiPriority w:val="99"/>
    <w:semiHidden/>
    <w:unhideWhenUsed/>
    <w:rsid w:val="00FF2D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2D50"/>
    <w:rPr>
      <w:b/>
      <w:bCs/>
    </w:rPr>
  </w:style>
  <w:style w:type="character" w:styleId="Hyperlink">
    <w:name w:val="Hyperlink"/>
    <w:basedOn w:val="DefaultParagraphFont"/>
    <w:uiPriority w:val="99"/>
    <w:semiHidden/>
    <w:unhideWhenUsed/>
    <w:rsid w:val="00FF2D50"/>
    <w:rPr>
      <w:color w:val="0000FF"/>
      <w:u w:val="single"/>
    </w:rPr>
  </w:style>
  <w:style w:type="character" w:styleId="Emphasis">
    <w:name w:val="Emphasis"/>
    <w:basedOn w:val="DefaultParagraphFont"/>
    <w:uiPriority w:val="20"/>
    <w:qFormat/>
    <w:rsid w:val="00FF2D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pp://-/index.html" TargetMode="External"/><Relationship Id="rId18" Type="http://schemas.openxmlformats.org/officeDocument/2006/relationships/hyperlink" Target="app://-/index.html" TargetMode="External"/><Relationship Id="rId26" Type="http://schemas.openxmlformats.org/officeDocument/2006/relationships/hyperlink" Target="app://-/index.html" TargetMode="External"/><Relationship Id="rId21" Type="http://schemas.openxmlformats.org/officeDocument/2006/relationships/hyperlink" Target="app://-/index.html" TargetMode="External"/><Relationship Id="rId34" Type="http://schemas.openxmlformats.org/officeDocument/2006/relationships/hyperlink" Target="https://www.nia.nih.gov/health/alzheimers-caregiving" TargetMode="External"/><Relationship Id="rId7" Type="http://schemas.openxmlformats.org/officeDocument/2006/relationships/hyperlink" Target="app://-/index.html" TargetMode="External"/><Relationship Id="rId12" Type="http://schemas.openxmlformats.org/officeDocument/2006/relationships/hyperlink" Target="app://-/index.html" TargetMode="External"/><Relationship Id="rId17" Type="http://schemas.openxmlformats.org/officeDocument/2006/relationships/hyperlink" Target="app://-/index.html" TargetMode="External"/><Relationship Id="rId25" Type="http://schemas.openxmlformats.org/officeDocument/2006/relationships/hyperlink" Target="app://-/index.html" TargetMode="External"/><Relationship Id="rId33" Type="http://schemas.openxmlformats.org/officeDocument/2006/relationships/hyperlink" Target="https://www.nia.nih.gov/health/alzheimers-disease-fact-shee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app://-/index.html" TargetMode="External"/><Relationship Id="rId20" Type="http://schemas.openxmlformats.org/officeDocument/2006/relationships/hyperlink" Target="app://-/index.html" TargetMode="External"/><Relationship Id="rId29" Type="http://schemas.openxmlformats.org/officeDocument/2006/relationships/hyperlink" Target="https://doi.org/10.1001/jama.2023.13239" TargetMode="External"/><Relationship Id="rId1" Type="http://schemas.openxmlformats.org/officeDocument/2006/relationships/numbering" Target="numbering.xml"/><Relationship Id="rId6" Type="http://schemas.openxmlformats.org/officeDocument/2006/relationships/hyperlink" Target="app://-/index.html" TargetMode="External"/><Relationship Id="rId11" Type="http://schemas.openxmlformats.org/officeDocument/2006/relationships/hyperlink" Target="app://-/index.html" TargetMode="External"/><Relationship Id="rId24" Type="http://schemas.openxmlformats.org/officeDocument/2006/relationships/hyperlink" Target="app://-/index.html" TargetMode="External"/><Relationship Id="rId32" Type="http://schemas.openxmlformats.org/officeDocument/2006/relationships/hyperlink" Target="https://www.nia.nih.gov/health/alzheimers-causes-and-risk-factors/what-happens-brain-alzheimers-disease" TargetMode="External"/><Relationship Id="rId37" Type="http://schemas.openxmlformats.org/officeDocument/2006/relationships/fontTable" Target="fontTable.xml"/><Relationship Id="rId5" Type="http://schemas.openxmlformats.org/officeDocument/2006/relationships/hyperlink" Target="app://-/index.html" TargetMode="External"/><Relationship Id="rId15" Type="http://schemas.openxmlformats.org/officeDocument/2006/relationships/hyperlink" Target="app://-/index.html" TargetMode="External"/><Relationship Id="rId23" Type="http://schemas.openxmlformats.org/officeDocument/2006/relationships/hyperlink" Target="app://-/index.html" TargetMode="External"/><Relationship Id="rId28" Type="http://schemas.openxmlformats.org/officeDocument/2006/relationships/hyperlink" Target="https://doi.org/10.1056/NEJMoa2212948" TargetMode="External"/><Relationship Id="rId36" Type="http://schemas.openxmlformats.org/officeDocument/2006/relationships/hyperlink" Target="https://www.fda.gov/news-events/press-announcements/fda-clears-first-blood-test-used-diagnosing-alzheimers-disease" TargetMode="External"/><Relationship Id="rId10" Type="http://schemas.openxmlformats.org/officeDocument/2006/relationships/hyperlink" Target="app://-/index.html" TargetMode="External"/><Relationship Id="rId19" Type="http://schemas.openxmlformats.org/officeDocument/2006/relationships/hyperlink" Target="app://-/index.html" TargetMode="External"/><Relationship Id="rId31" Type="http://schemas.openxmlformats.org/officeDocument/2006/relationships/hyperlink" Target="https://doi.org/10.1016/S0140-6736(24)01296-0" TargetMode="External"/><Relationship Id="rId4" Type="http://schemas.openxmlformats.org/officeDocument/2006/relationships/webSettings" Target="webSettings.xml"/><Relationship Id="rId9" Type="http://schemas.openxmlformats.org/officeDocument/2006/relationships/hyperlink" Target="app://-/index.html" TargetMode="External"/><Relationship Id="rId14" Type="http://schemas.openxmlformats.org/officeDocument/2006/relationships/hyperlink" Target="app://-/index.html" TargetMode="External"/><Relationship Id="rId22" Type="http://schemas.openxmlformats.org/officeDocument/2006/relationships/hyperlink" Target="app://-/index.html" TargetMode="External"/><Relationship Id="rId27" Type="http://schemas.openxmlformats.org/officeDocument/2006/relationships/hyperlink" Target="https://doi.org/10.1002/alz.13859" TargetMode="External"/><Relationship Id="rId30" Type="http://schemas.openxmlformats.org/officeDocument/2006/relationships/hyperlink" Target="https://doi.org/10.1002/alz.70535" TargetMode="External"/><Relationship Id="rId35" Type="http://schemas.openxmlformats.org/officeDocument/2006/relationships/hyperlink" Target="https://www.fda.gov/drugs/news-events-human-drugs/fda-approves-treatment-adults-alzheimers-disease" TargetMode="External"/><Relationship Id="rId8" Type="http://schemas.openxmlformats.org/officeDocument/2006/relationships/hyperlink" Target="app://-/index.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2578</Words>
  <Characters>14697</Characters>
  <Application>Microsoft Office Word</Application>
  <DocSecurity>0</DocSecurity>
  <Lines>122</Lines>
  <Paragraphs>34</Paragraphs>
  <ScaleCrop>false</ScaleCrop>
  <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Zhe</dc:creator>
  <cp:keywords/>
  <dc:description/>
  <cp:lastModifiedBy>Liang, Zhe</cp:lastModifiedBy>
  <cp:revision>2</cp:revision>
  <dcterms:created xsi:type="dcterms:W3CDTF">2026-08-08T19:21:00Z</dcterms:created>
  <dcterms:modified xsi:type="dcterms:W3CDTF">2026-08-08T19:24:00Z</dcterms:modified>
</cp:coreProperties>
</file>