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1728"/>
        <w:gridCol w:w="2160"/>
        <w:gridCol w:w="3600"/>
        <w:gridCol w:w="2880"/>
      </w:tblGrid>
      <w:tr>
        <w:tc>
          <w:tcPr>
            <w:tcW w:type="dxa" w:w="15140"/>
            <w:gridSpan w:val="5"/>
          </w:tcPr>
          <w:p>
            <w:pPr>
              <w:jc w:val="center"/>
            </w:pPr>
            <w:r>
              <w:rPr>
                <w:rFonts w:ascii="Calibri" w:hAnsi="Calibri"/>
                <w:b/>
                <w:sz w:val="28"/>
              </w:rPr>
              <w:t>Trip Itinerary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Palais Royal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Musée d'Orsay, Rodin Museum, Les Invalides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type="dxa" w:w="3028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type="dxa" w:w="3028"/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