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20/03/2026</w:t>
            </w:r>
          </w:p>
        </w:tc>
        <w:tc>
          <w:tcPr>
            <w:tcW w:type="dxa" w:w="2010"/>
          </w:tcPr>
          <w:p>
            <w:r>
              <w:t>伦敦 ➔ 巴黎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21/03/2026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22/03/2026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Louvre Museum, Tuileries Garden, Place de la Concorde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23/03/2026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Notre-Dame Cathedral (exterior visit),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24/03/2026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Montmartre, Sacré-Cœur Basilica, Moulin Rouge (exterior visit)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25/03/2026</w:t>
            </w:r>
          </w:p>
        </w:tc>
        <w:tc>
          <w:tcPr>
            <w:tcW w:type="dxa" w:w="2010"/>
          </w:tcPr>
          <w:p>
            <w:r>
              <w:t>巴黎</w:t>
            </w:r>
          </w:p>
        </w:tc>
        <w:tc>
          <w:tcPr>
            <w:tcW w:type="dxa" w:w="4465"/>
          </w:tcPr>
          <w:p>
            <w:r>
              <w:t>Luxembourg Gardens, Panthéon, Saint-Germain-des-Prés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26/03/2026</w:t>
            </w:r>
          </w:p>
        </w:tc>
        <w:tc>
          <w:tcPr>
            <w:tcW w:type="dxa" w:w="2010"/>
          </w:tcPr>
          <w:p>
            <w:r>
              <w:t>巴黎 ➔ 伦敦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