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213F"/>
          <w:sz w:val="40"/>
        </w:rPr>
        <w:t>CreditRiskRAG Final Project Presentation</w:t>
      </w:r>
    </w:p>
    <w:p>
      <w:pPr>
        <w:jc w:val="center"/>
      </w:pPr>
      <w:r>
        <w:rPr>
          <w:color w:val="506082"/>
          <w:sz w:val="22"/>
        </w:rPr>
        <w:t>Executive-quality speech script · 5:40 target runtime · Linda / Yash / Sidd</w:t>
      </w:r>
    </w:p>
    <w:p>
      <w:pPr>
        <w:pStyle w:val="Heading1"/>
      </w:pPr>
      <w:r>
        <w:t>Recording stance</w:t>
      </w:r>
    </w:p>
    <w:p>
      <w:pPr>
        <w:spacing w:after="40"/>
      </w:pPr>
      <w:r>
        <w:rPr>
          <w:b/>
        </w:rPr>
        <w:t xml:space="preserve">• </w:t>
      </w:r>
      <w:r>
        <w:t>Use a senior, production-minded tone: this is not “we trained a model,” it is “we built a governed decision trace.”</w:t>
      </w:r>
    </w:p>
    <w:p>
      <w:pPr>
        <w:spacing w:after="40"/>
      </w:pPr>
      <w:r>
        <w:rPr>
          <w:b/>
        </w:rPr>
        <w:t xml:space="preserve">• </w:t>
      </w:r>
      <w:r>
        <w:t>Keep the demo live. On Slide 8, switch to the deployed website and click Overview, Letters, and Evaluation.</w:t>
      </w:r>
    </w:p>
    <w:p>
      <w:pPr>
        <w:spacing w:after="40"/>
      </w:pPr>
      <w:r>
        <w:rPr>
          <w:b/>
        </w:rPr>
        <w:t xml:space="preserve">• </w:t>
      </w:r>
      <w:r>
        <w:t>Do not oversell. Say “research prototype” whenever discussing generated adverse-action-style letters.</w:t>
      </w:r>
    </w:p>
    <w:p>
      <w:pPr>
        <w:pStyle w:val="Heading1"/>
      </w:pPr>
      <w:r>
        <w:t>Run of show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213F"/>
            <w:vAlign w:val="center"/>
          </w:tcPr>
          <w:p>
            <w:pPr>
              <w:jc w:val="left"/>
            </w:pPr>
            <w:r/>
            <w:r>
              <w:rPr>
                <w:b/>
                <w:color w:val="FFFFFF"/>
                <w:sz w:val="18"/>
              </w:rPr>
              <w:t>Time</w:t>
            </w:r>
          </w:p>
        </w:tc>
        <w:tc>
          <w:tcPr>
            <w:tcW w:type="dxa" w:w="2592"/>
            <w:shd w:fill="17213F"/>
            <w:vAlign w:val="center"/>
          </w:tcPr>
          <w:p>
            <w:pPr>
              <w:jc w:val="left"/>
            </w:pPr>
            <w:r/>
            <w:r>
              <w:rPr>
                <w:b/>
                <w:color w:val="FFFFFF"/>
                <w:sz w:val="18"/>
              </w:rPr>
              <w:t>Speaker</w:t>
            </w:r>
          </w:p>
        </w:tc>
        <w:tc>
          <w:tcPr>
            <w:tcW w:type="dxa" w:w="2592"/>
            <w:shd w:fill="17213F"/>
            <w:vAlign w:val="center"/>
          </w:tcPr>
          <w:p>
            <w:pPr>
              <w:jc w:val="left"/>
            </w:pPr>
            <w:r/>
            <w:r>
              <w:rPr>
                <w:b/>
                <w:color w:val="FFFFFF"/>
                <w:sz w:val="18"/>
              </w:rPr>
              <w:t>Slide</w:t>
            </w:r>
          </w:p>
        </w:tc>
        <w:tc>
          <w:tcPr>
            <w:tcW w:type="dxa" w:w="2592"/>
            <w:shd w:fill="17213F"/>
            <w:vAlign w:val="center"/>
          </w:tcPr>
          <w:p>
            <w:pPr>
              <w:jc w:val="left"/>
            </w:pPr>
            <w:r/>
            <w:r>
              <w:rPr>
                <w:b/>
                <w:color w:val="FFFFFF"/>
                <w:sz w:val="18"/>
              </w:rPr>
              <w:t>Rubric component</w:t>
            </w:r>
          </w:p>
        </w:tc>
      </w:tr>
      <w:tr>
        <w:tc>
          <w:tcPr>
            <w:tcW w:type="dxa" w:w="2592"/>
            <w:vAlign w:val="center"/>
          </w:tcPr>
          <w:p>
            <w:pPr>
              <w:jc w:val="left"/>
            </w:pPr>
            <w:r/>
            <w:r>
              <w:rPr>
                <w:b w:val="0"/>
                <w:sz w:val="17"/>
              </w:rPr>
              <w:t>0:00–0:10</w:t>
            </w:r>
          </w:p>
        </w:tc>
        <w:tc>
          <w:tcPr>
            <w:tcW w:type="dxa" w:w="2592"/>
            <w:vAlign w:val="center"/>
          </w:tcPr>
          <w:p>
            <w:pPr>
              <w:jc w:val="left"/>
            </w:pPr>
            <w:r/>
            <w:r>
              <w:rPr>
                <w:b w:val="0"/>
                <w:sz w:val="17"/>
              </w:rPr>
              <w:t>Linda</w:t>
            </w:r>
          </w:p>
        </w:tc>
        <w:tc>
          <w:tcPr>
            <w:tcW w:type="dxa" w:w="2592"/>
            <w:vAlign w:val="center"/>
          </w:tcPr>
          <w:p>
            <w:pPr>
              <w:jc w:val="left"/>
            </w:pPr>
            <w:r/>
            <w:r>
              <w:rPr>
                <w:b w:val="0"/>
                <w:sz w:val="17"/>
              </w:rPr>
              <w:t>1</w:t>
            </w:r>
          </w:p>
        </w:tc>
        <w:tc>
          <w:tcPr>
            <w:tcW w:type="dxa" w:w="2592"/>
            <w:vAlign w:val="center"/>
          </w:tcPr>
          <w:p>
            <w:pPr>
              <w:jc w:val="left"/>
            </w:pPr>
            <w:r/>
            <w:r>
              <w:rPr>
                <w:b w:val="0"/>
                <w:sz w:val="17"/>
              </w:rPr>
              <w:t>Opening</w:t>
            </w:r>
          </w:p>
        </w:tc>
      </w:tr>
      <w:tr>
        <w:tc>
          <w:tcPr>
            <w:tcW w:type="dxa" w:w="2592"/>
            <w:vAlign w:val="center"/>
          </w:tcPr>
          <w:p>
            <w:pPr>
              <w:jc w:val="left"/>
            </w:pPr>
            <w:r/>
            <w:r>
              <w:rPr>
                <w:b w:val="0"/>
                <w:sz w:val="17"/>
              </w:rPr>
              <w:t>0:10–0:50</w:t>
            </w:r>
          </w:p>
        </w:tc>
        <w:tc>
          <w:tcPr>
            <w:tcW w:type="dxa" w:w="2592"/>
            <w:vAlign w:val="center"/>
          </w:tcPr>
          <w:p>
            <w:pPr>
              <w:jc w:val="left"/>
            </w:pPr>
            <w:r/>
            <w:r>
              <w:rPr>
                <w:b w:val="0"/>
                <w:sz w:val="17"/>
              </w:rPr>
              <w:t>Linda</w:t>
            </w:r>
          </w:p>
        </w:tc>
        <w:tc>
          <w:tcPr>
            <w:tcW w:type="dxa" w:w="2592"/>
            <w:vAlign w:val="center"/>
          </w:tcPr>
          <w:p>
            <w:pPr>
              <w:jc w:val="left"/>
            </w:pPr>
            <w:r/>
            <w:r>
              <w:rPr>
                <w:b w:val="0"/>
                <w:sz w:val="17"/>
              </w:rPr>
              <w:t>2</w:t>
            </w:r>
          </w:p>
        </w:tc>
        <w:tc>
          <w:tcPr>
            <w:tcW w:type="dxa" w:w="2592"/>
            <w:vAlign w:val="center"/>
          </w:tcPr>
          <w:p>
            <w:pPr>
              <w:jc w:val="left"/>
            </w:pPr>
            <w:r/>
            <w:r>
              <w:rPr>
                <w:b w:val="0"/>
                <w:sz w:val="17"/>
              </w:rPr>
              <w:t>Introduction</w:t>
            </w:r>
          </w:p>
        </w:tc>
      </w:tr>
      <w:tr>
        <w:tc>
          <w:tcPr>
            <w:tcW w:type="dxa" w:w="2592"/>
            <w:vAlign w:val="center"/>
          </w:tcPr>
          <w:p>
            <w:pPr>
              <w:jc w:val="left"/>
            </w:pPr>
            <w:r/>
            <w:r>
              <w:rPr>
                <w:b w:val="0"/>
                <w:sz w:val="17"/>
              </w:rPr>
              <w:t>0:50–1:30</w:t>
            </w:r>
          </w:p>
        </w:tc>
        <w:tc>
          <w:tcPr>
            <w:tcW w:type="dxa" w:w="2592"/>
            <w:vAlign w:val="center"/>
          </w:tcPr>
          <w:p>
            <w:pPr>
              <w:jc w:val="left"/>
            </w:pPr>
            <w:r/>
            <w:r>
              <w:rPr>
                <w:b w:val="0"/>
                <w:sz w:val="17"/>
              </w:rPr>
              <w:t>Linda</w:t>
            </w:r>
          </w:p>
        </w:tc>
        <w:tc>
          <w:tcPr>
            <w:tcW w:type="dxa" w:w="2592"/>
            <w:vAlign w:val="center"/>
          </w:tcPr>
          <w:p>
            <w:pPr>
              <w:jc w:val="left"/>
            </w:pPr>
            <w:r/>
            <w:r>
              <w:rPr>
                <w:b w:val="0"/>
                <w:sz w:val="17"/>
              </w:rPr>
              <w:t>3</w:t>
            </w:r>
          </w:p>
        </w:tc>
        <w:tc>
          <w:tcPr>
            <w:tcW w:type="dxa" w:w="2592"/>
            <w:vAlign w:val="center"/>
          </w:tcPr>
          <w:p>
            <w:pPr>
              <w:jc w:val="left"/>
            </w:pPr>
            <w:r/>
            <w:r>
              <w:rPr>
                <w:b w:val="0"/>
                <w:sz w:val="17"/>
              </w:rPr>
              <w:t>Related Work</w:t>
            </w:r>
          </w:p>
        </w:tc>
      </w:tr>
      <w:tr>
        <w:tc>
          <w:tcPr>
            <w:tcW w:type="dxa" w:w="2592"/>
            <w:vAlign w:val="center"/>
          </w:tcPr>
          <w:p>
            <w:pPr>
              <w:jc w:val="left"/>
            </w:pPr>
            <w:r/>
            <w:r>
              <w:rPr>
                <w:b w:val="0"/>
                <w:sz w:val="17"/>
              </w:rPr>
              <w:t>1:30–2:20</w:t>
            </w:r>
          </w:p>
        </w:tc>
        <w:tc>
          <w:tcPr>
            <w:tcW w:type="dxa" w:w="2592"/>
            <w:vAlign w:val="center"/>
          </w:tcPr>
          <w:p>
            <w:pPr>
              <w:jc w:val="left"/>
            </w:pPr>
            <w:r/>
            <w:r>
              <w:rPr>
                <w:b w:val="0"/>
                <w:sz w:val="17"/>
              </w:rPr>
              <w:t>Yash</w:t>
            </w:r>
          </w:p>
        </w:tc>
        <w:tc>
          <w:tcPr>
            <w:tcW w:type="dxa" w:w="2592"/>
            <w:vAlign w:val="center"/>
          </w:tcPr>
          <w:p>
            <w:pPr>
              <w:jc w:val="left"/>
            </w:pPr>
            <w:r/>
            <w:r>
              <w:rPr>
                <w:b w:val="0"/>
                <w:sz w:val="17"/>
              </w:rPr>
              <w:t>4</w:t>
            </w:r>
          </w:p>
        </w:tc>
        <w:tc>
          <w:tcPr>
            <w:tcW w:type="dxa" w:w="2592"/>
            <w:vAlign w:val="center"/>
          </w:tcPr>
          <w:p>
            <w:pPr>
              <w:jc w:val="left"/>
            </w:pPr>
            <w:r/>
            <w:r>
              <w:rPr>
                <w:b w:val="0"/>
                <w:sz w:val="17"/>
              </w:rPr>
              <w:t>Data &amp; Features</w:t>
            </w:r>
          </w:p>
        </w:tc>
      </w:tr>
      <w:tr>
        <w:tc>
          <w:tcPr>
            <w:tcW w:type="dxa" w:w="2592"/>
            <w:vAlign w:val="center"/>
          </w:tcPr>
          <w:p>
            <w:pPr>
              <w:jc w:val="left"/>
            </w:pPr>
            <w:r/>
            <w:r>
              <w:rPr>
                <w:b w:val="0"/>
                <w:sz w:val="17"/>
              </w:rPr>
              <w:t>2:20–3:15</w:t>
            </w:r>
          </w:p>
        </w:tc>
        <w:tc>
          <w:tcPr>
            <w:tcW w:type="dxa" w:w="2592"/>
            <w:vAlign w:val="center"/>
          </w:tcPr>
          <w:p>
            <w:pPr>
              <w:jc w:val="left"/>
            </w:pPr>
            <w:r/>
            <w:r>
              <w:rPr>
                <w:b w:val="0"/>
                <w:sz w:val="17"/>
              </w:rPr>
              <w:t>Yash</w:t>
            </w:r>
          </w:p>
        </w:tc>
        <w:tc>
          <w:tcPr>
            <w:tcW w:type="dxa" w:w="2592"/>
            <w:vAlign w:val="center"/>
          </w:tcPr>
          <w:p>
            <w:pPr>
              <w:jc w:val="left"/>
            </w:pPr>
            <w:r/>
            <w:r>
              <w:rPr>
                <w:b w:val="0"/>
                <w:sz w:val="17"/>
              </w:rPr>
              <w:t>5</w:t>
            </w:r>
          </w:p>
        </w:tc>
        <w:tc>
          <w:tcPr>
            <w:tcW w:type="dxa" w:w="2592"/>
            <w:vAlign w:val="center"/>
          </w:tcPr>
          <w:p>
            <w:pPr>
              <w:jc w:val="left"/>
            </w:pPr>
            <w:r/>
            <w:r>
              <w:rPr>
                <w:b w:val="0"/>
                <w:sz w:val="17"/>
              </w:rPr>
              <w:t>Methods</w:t>
            </w:r>
          </w:p>
        </w:tc>
      </w:tr>
      <w:tr>
        <w:tc>
          <w:tcPr>
            <w:tcW w:type="dxa" w:w="2592"/>
            <w:vAlign w:val="center"/>
          </w:tcPr>
          <w:p>
            <w:pPr>
              <w:jc w:val="left"/>
            </w:pPr>
            <w:r/>
            <w:r>
              <w:rPr>
                <w:b w:val="0"/>
                <w:sz w:val="17"/>
              </w:rPr>
              <w:t>3:15–4:00</w:t>
            </w:r>
          </w:p>
        </w:tc>
        <w:tc>
          <w:tcPr>
            <w:tcW w:type="dxa" w:w="2592"/>
            <w:vAlign w:val="center"/>
          </w:tcPr>
          <w:p>
            <w:pPr>
              <w:jc w:val="left"/>
            </w:pPr>
            <w:r/>
            <w:r>
              <w:rPr>
                <w:b w:val="0"/>
                <w:sz w:val="17"/>
              </w:rPr>
              <w:t>Sidd</w:t>
            </w:r>
          </w:p>
        </w:tc>
        <w:tc>
          <w:tcPr>
            <w:tcW w:type="dxa" w:w="2592"/>
            <w:vAlign w:val="center"/>
          </w:tcPr>
          <w:p>
            <w:pPr>
              <w:jc w:val="left"/>
            </w:pPr>
            <w:r/>
            <w:r>
              <w:rPr>
                <w:b w:val="0"/>
                <w:sz w:val="17"/>
              </w:rPr>
              <w:t>6</w:t>
            </w:r>
          </w:p>
        </w:tc>
        <w:tc>
          <w:tcPr>
            <w:tcW w:type="dxa" w:w="2592"/>
            <w:vAlign w:val="center"/>
          </w:tcPr>
          <w:p>
            <w:pPr>
              <w:jc w:val="left"/>
            </w:pPr>
            <w:r/>
            <w:r>
              <w:rPr>
                <w:b w:val="0"/>
                <w:sz w:val="17"/>
              </w:rPr>
              <w:t>Results: risk model</w:t>
            </w:r>
          </w:p>
        </w:tc>
      </w:tr>
      <w:tr>
        <w:tc>
          <w:tcPr>
            <w:tcW w:type="dxa" w:w="2592"/>
            <w:vAlign w:val="center"/>
          </w:tcPr>
          <w:p>
            <w:pPr>
              <w:jc w:val="left"/>
            </w:pPr>
            <w:r/>
            <w:r>
              <w:rPr>
                <w:b w:val="0"/>
                <w:sz w:val="17"/>
              </w:rPr>
              <w:t>4:00–4:30</w:t>
            </w:r>
          </w:p>
        </w:tc>
        <w:tc>
          <w:tcPr>
            <w:tcW w:type="dxa" w:w="2592"/>
            <w:vAlign w:val="center"/>
          </w:tcPr>
          <w:p>
            <w:pPr>
              <w:jc w:val="left"/>
            </w:pPr>
            <w:r/>
            <w:r>
              <w:rPr>
                <w:b w:val="0"/>
                <w:sz w:val="17"/>
              </w:rPr>
              <w:t>Sidd</w:t>
            </w:r>
          </w:p>
        </w:tc>
        <w:tc>
          <w:tcPr>
            <w:tcW w:type="dxa" w:w="2592"/>
            <w:vAlign w:val="center"/>
          </w:tcPr>
          <w:p>
            <w:pPr>
              <w:jc w:val="left"/>
            </w:pPr>
            <w:r/>
            <w:r>
              <w:rPr>
                <w:b w:val="0"/>
                <w:sz w:val="17"/>
              </w:rPr>
              <w:t>7</w:t>
            </w:r>
          </w:p>
        </w:tc>
        <w:tc>
          <w:tcPr>
            <w:tcW w:type="dxa" w:w="2592"/>
            <w:vAlign w:val="center"/>
          </w:tcPr>
          <w:p>
            <w:pPr>
              <w:jc w:val="left"/>
            </w:pPr>
            <w:r/>
            <w:r>
              <w:rPr>
                <w:b w:val="0"/>
                <w:sz w:val="17"/>
              </w:rPr>
              <w:t>Results: RAG evaluation</w:t>
            </w:r>
          </w:p>
        </w:tc>
      </w:tr>
      <w:tr>
        <w:tc>
          <w:tcPr>
            <w:tcW w:type="dxa" w:w="2592"/>
            <w:vAlign w:val="center"/>
          </w:tcPr>
          <w:p>
            <w:pPr>
              <w:jc w:val="left"/>
            </w:pPr>
            <w:r/>
            <w:r>
              <w:rPr>
                <w:b w:val="0"/>
                <w:sz w:val="17"/>
              </w:rPr>
              <w:t>4:30–5:20</w:t>
            </w:r>
          </w:p>
        </w:tc>
        <w:tc>
          <w:tcPr>
            <w:tcW w:type="dxa" w:w="2592"/>
            <w:vAlign w:val="center"/>
          </w:tcPr>
          <w:p>
            <w:pPr>
              <w:jc w:val="left"/>
            </w:pPr>
            <w:r/>
            <w:r>
              <w:rPr>
                <w:b w:val="0"/>
                <w:sz w:val="17"/>
              </w:rPr>
              <w:t>Sidd</w:t>
            </w:r>
          </w:p>
        </w:tc>
        <w:tc>
          <w:tcPr>
            <w:tcW w:type="dxa" w:w="2592"/>
            <w:vAlign w:val="center"/>
          </w:tcPr>
          <w:p>
            <w:pPr>
              <w:jc w:val="left"/>
            </w:pPr>
            <w:r/>
            <w:r>
              <w:rPr>
                <w:b w:val="0"/>
                <w:sz w:val="17"/>
              </w:rPr>
              <w:t>8</w:t>
            </w:r>
          </w:p>
        </w:tc>
        <w:tc>
          <w:tcPr>
            <w:tcW w:type="dxa" w:w="2592"/>
            <w:vAlign w:val="center"/>
          </w:tcPr>
          <w:p>
            <w:pPr>
              <w:jc w:val="left"/>
            </w:pPr>
            <w:r/>
            <w:r>
              <w:rPr>
                <w:b w:val="0"/>
                <w:sz w:val="17"/>
              </w:rPr>
              <w:t>Demo</w:t>
            </w:r>
          </w:p>
        </w:tc>
      </w:tr>
      <w:tr>
        <w:tc>
          <w:tcPr>
            <w:tcW w:type="dxa" w:w="2592"/>
            <w:vAlign w:val="center"/>
          </w:tcPr>
          <w:p>
            <w:pPr>
              <w:jc w:val="left"/>
            </w:pPr>
            <w:r/>
            <w:r>
              <w:rPr>
                <w:b w:val="0"/>
                <w:sz w:val="17"/>
              </w:rPr>
              <w:t>5:20–5:40</w:t>
            </w:r>
          </w:p>
        </w:tc>
        <w:tc>
          <w:tcPr>
            <w:tcW w:type="dxa" w:w="2592"/>
            <w:vAlign w:val="center"/>
          </w:tcPr>
          <w:p>
            <w:pPr>
              <w:jc w:val="left"/>
            </w:pPr>
            <w:r/>
            <w:r>
              <w:rPr>
                <w:b w:val="0"/>
                <w:sz w:val="17"/>
              </w:rPr>
              <w:t>Sidd</w:t>
            </w:r>
          </w:p>
        </w:tc>
        <w:tc>
          <w:tcPr>
            <w:tcW w:type="dxa" w:w="2592"/>
            <w:vAlign w:val="center"/>
          </w:tcPr>
          <w:p>
            <w:pPr>
              <w:jc w:val="left"/>
            </w:pPr>
            <w:r/>
            <w:r>
              <w:rPr>
                <w:b w:val="0"/>
                <w:sz w:val="17"/>
              </w:rPr>
              <w:t>9</w:t>
            </w:r>
          </w:p>
        </w:tc>
        <w:tc>
          <w:tcPr>
            <w:tcW w:type="dxa" w:w="2592"/>
            <w:vAlign w:val="center"/>
          </w:tcPr>
          <w:p>
            <w:pPr>
              <w:jc w:val="left"/>
            </w:pPr>
            <w:r/>
            <w:r>
              <w:rPr>
                <w:b w:val="0"/>
                <w:sz w:val="17"/>
              </w:rPr>
              <w:t>Takeaways</w:t>
            </w:r>
          </w:p>
        </w:tc>
      </w:tr>
    </w:tbl>
    <w:p>
      <w:pPr>
        <w:pStyle w:val="Heading1"/>
      </w:pPr>
      <w:r>
        <w:t>Slide-by-slide speech script</w:t>
      </w:r>
    </w:p>
    <w:p>
      <w:pPr>
        <w:spacing w:before="160"/>
      </w:pPr>
      <w:r>
        <w:rPr>
          <w:b/>
          <w:color w:val="17213F"/>
          <w:sz w:val="24"/>
        </w:rPr>
        <w:t>Slide 1 — Opening</w:t>
      </w:r>
      <w:r>
        <w:rPr>
          <w:color w:val="506082"/>
          <w:sz w:val="20"/>
        </w:rPr>
        <w:t xml:space="preserve">  |  Linda · 0:00–0:10</w:t>
      </w:r>
    </w:p>
    <w:p>
      <w:pPr>
        <w:spacing w:after="80" w:line="252" w:lineRule="auto"/>
      </w:pPr>
      <w:r>
        <w:t>CreditRiskRAG is our end-to-end credit-risk prototype. The core idea is simple: a risk score is only useful if the organization can explain it, govern it, and trace it back to evidence. In five minutes, we will cover why this matters, what prior work inspired us, how we processed data, what models and AI methods we used, what the system can do, and then show the live demo.</w:t>
      </w:r>
    </w:p>
    <w:p>
      <w:pPr>
        <w:spacing w:before="160"/>
      </w:pPr>
      <w:r>
        <w:rPr>
          <w:b/>
          <w:color w:val="17213F"/>
          <w:sz w:val="24"/>
        </w:rPr>
        <w:t>Slide 2 — Introduction</w:t>
      </w:r>
      <w:r>
        <w:rPr>
          <w:color w:val="506082"/>
          <w:sz w:val="20"/>
        </w:rPr>
        <w:t xml:space="preserve">  |  Linda · 0:10–0:50</w:t>
      </w:r>
    </w:p>
    <w:p>
      <w:pPr>
        <w:spacing w:after="80" w:line="252" w:lineRule="auto"/>
      </w:pPr>
      <w:r>
        <w:t>Credit-risk modeling has a high bar because it touches real people and real money. A lender needs to rank default risk, but a borrower and a reviewer need to understand the principal reasons behind a decision. From a senior ML engineering perspective, the product is not just a classifier; it is a decision trace. Our system connects four layers: a leakage-aware default-risk model, calibrated probabilities for policy decisions, SHAP reason extraction for borrower-level drivers, and regulatory retrieval before drafting adverse-action-style text. We are deliberately positioning this as decision support and a research prototype, not as automated lending or compliance-approved software.</w:t>
      </w:r>
    </w:p>
    <w:p>
      <w:pPr>
        <w:spacing w:before="160"/>
      </w:pPr>
      <w:r>
        <w:rPr>
          <w:b/>
          <w:color w:val="17213F"/>
          <w:sz w:val="24"/>
        </w:rPr>
        <w:t>Slide 3 — Related Work</w:t>
      </w:r>
      <w:r>
        <w:rPr>
          <w:color w:val="506082"/>
          <w:sz w:val="20"/>
        </w:rPr>
        <w:t xml:space="preserve">  |  Linda · 0:50–1:30</w:t>
      </w:r>
    </w:p>
    <w:p>
      <w:pPr>
        <w:spacing w:after="80" w:line="252" w:lineRule="auto"/>
      </w:pPr>
      <w:r>
        <w:t>Two pieces of related work shaped our design. First, Lessmann and colleagues showed that credit-scoring models should be evaluated as a benchmarked decision problem, not a one-metric competition. That is why we compared several model families and also looked at PR-AUC, calibration, review volume, and economic operating policy. Second, Lewis and colleagues introduced retrieval-augmented generation: generate with external evidence instead of relying only on a language model’s memory. We adapted that idea to consumer-credit regulations. SHAP gave us the bridge between model behavior and applicant-readable reasons. In other words: credit-risk benchmarking guided the model layer; RAG guided the explanation layer; SHAP connected them.</w:t>
      </w:r>
    </w:p>
    <w:p>
      <w:pPr>
        <w:spacing w:before="160"/>
      </w:pPr>
      <w:r>
        <w:rPr>
          <w:b/>
          <w:color w:val="17213F"/>
          <w:sz w:val="24"/>
        </w:rPr>
        <w:t>Slide 4 — Data &amp; Features</w:t>
      </w:r>
      <w:r>
        <w:rPr>
          <w:color w:val="506082"/>
          <w:sz w:val="20"/>
        </w:rPr>
        <w:t xml:space="preserve">  |  Yash · 1:30–2:20</w:t>
      </w:r>
    </w:p>
    <w:p>
      <w:pPr>
        <w:spacing w:after="80" w:line="252" w:lineRule="auto"/>
      </w:pPr>
      <w:r>
        <w:t>Our data work was built around one governance principle: only use information that would be available at decision time. We started with LendingClub accepted-loan records from 2007 through 2018. Rejected applications were not used for supervised default prediction because they do not have repayment outcomes. We removed current or unresolved loans, then created a target only from completed outcomes. Splits were chronological: training first, validation next, and a future-period test set last. We parsed percent fields, normalized term and employment length, created mean FICO and credit-history age, fit preprocessing only on the training period, and one-hot encoded low-cardinality categoricals. We excluded post-origination payments, recoveries, servicing, hardship, settlement, last-FICO, and last-credit-pull fields because those would leak future information.</w:t>
      </w:r>
    </w:p>
    <w:p>
      <w:pPr>
        <w:spacing w:before="160"/>
      </w:pPr>
      <w:r>
        <w:rPr>
          <w:b/>
          <w:color w:val="17213F"/>
          <w:sz w:val="24"/>
        </w:rPr>
        <w:t>Slide 5 — Methods</w:t>
      </w:r>
      <w:r>
        <w:rPr>
          <w:color w:val="506082"/>
          <w:sz w:val="20"/>
        </w:rPr>
        <w:t xml:space="preserve">  |  Yash · 2:20–3:15</w:t>
      </w:r>
    </w:p>
    <w:p>
      <w:pPr>
        <w:spacing w:after="80" w:line="252" w:lineRule="auto"/>
      </w:pPr>
      <w:r>
        <w:t>The methods layer is a controlled pipeline. We benchmarked logistic regression, random forest, histogram gradient boosting, LightGBM, XGBoost, and CatBoost. LightGBM was a strong statistical candidate, but we selected neutral XGBoost for the final governed workflow because it gave strong ranking, stable probabilities after calibration, and mature SHAP tooling. We removed LendingClub grade and subgrade to avoid over-reliance on explicit platform risk buckets, while retaining interest rate as an accepted-loan pricing signal. We used Platt calibration before thresholding, then capped the review or reject share around twenty percent so the operating policy stayed realistic. For the RAG layer, SHAP selected borrower-level reasons, retrieval searched 70 citation-preserving regulatory chunks using MiniLM plus BM25 and reciprocal-rank fusion, and a separate blind judge scored RAG against a no-RAG control.</w:t>
      </w:r>
    </w:p>
    <w:p>
      <w:pPr>
        <w:spacing w:before="160"/>
      </w:pPr>
      <w:r>
        <w:rPr>
          <w:b/>
          <w:color w:val="17213F"/>
          <w:sz w:val="24"/>
        </w:rPr>
        <w:t>Slide 6 — Results: Risk Model</w:t>
      </w:r>
      <w:r>
        <w:rPr>
          <w:color w:val="506082"/>
          <w:sz w:val="20"/>
        </w:rPr>
        <w:t xml:space="preserve">  |  Sidd · 3:15–4:00</w:t>
      </w:r>
    </w:p>
    <w:p>
      <w:pPr>
        <w:spacing w:after="80" w:line="252" w:lineRule="auto"/>
      </w:pPr>
      <w:r>
        <w:t>The risk model did what a good credit-risk triage model should do: concentrate losses in a limited review queue. On the future test period, the preferred model’s test PR-AUC was about 0.381. The more important operating result is that the riskiest 20 percent had about a 40 percent bad rate, compared with a 21 percent base bad rate. That is about 1.9 times concentration and captures about 38 percent of all defaults inside a manageable review segment. Under the capped policy, about 19.5 percent of loans were flagged, and the remaining approved group had a lower bad rate. The key lesson is that calibrated ranking plus policy constraints is more useful than a raw accuracy headline.</w:t>
      </w:r>
    </w:p>
    <w:p>
      <w:pPr>
        <w:spacing w:before="160"/>
      </w:pPr>
      <w:r>
        <w:rPr>
          <w:b/>
          <w:color w:val="17213F"/>
          <w:sz w:val="24"/>
        </w:rPr>
        <w:t>Slide 7 — Results: RAG Evaluation</w:t>
      </w:r>
      <w:r>
        <w:rPr>
          <w:color w:val="506082"/>
          <w:sz w:val="20"/>
        </w:rPr>
        <w:t xml:space="preserve">  |  Sidd · 4:00–4:30</w:t>
      </w:r>
    </w:p>
    <w:p>
      <w:pPr>
        <w:spacing w:after="80" w:line="252" w:lineRule="auto"/>
      </w:pPr>
      <w:r>
        <w:t>For the explanation experiment, we generated five RAG letters and five no-RAG controls from the same SHAP-selected reasons. Both modes preserved the selected reasons and handled the FCRA sixty-day window and ECOA language. Retrieval improved the harder legal-specificity checks: agency naming and other legal-error checks moved from zero to 0.40. Overall statutory-accuracy score increased from 0.60 to 0.76. That is encouraging, but not a production claim. The sample is small, and some letters still had placeholder issues. The right conclusion is that retrieval improves grounding, but a production system would need deterministic validators, larger evaluation, and compliance review.</w:t>
      </w:r>
    </w:p>
    <w:p>
      <w:pPr>
        <w:spacing w:before="160"/>
      </w:pPr>
      <w:r>
        <w:rPr>
          <w:b/>
          <w:color w:val="17213F"/>
          <w:sz w:val="24"/>
        </w:rPr>
        <w:t>Slide 8 — Demo</w:t>
      </w:r>
      <w:r>
        <w:rPr>
          <w:color w:val="506082"/>
          <w:sz w:val="20"/>
        </w:rPr>
        <w:t xml:space="preserve">  |  Sidd · 4:30–5:20</w:t>
      </w:r>
    </w:p>
    <w:p>
      <w:pPr>
        <w:spacing w:after="80" w:line="252" w:lineRule="auto"/>
      </w:pPr>
      <w:r>
        <w:t>Now I will switch to the live site. The first tab, Overview, shows the full chain: XGBoost risk score, SHAP reasons, regulatory retrieval, RAG letter generation, and blind evaluation. The Letters tab lets us compare a RAG and no-RAG letter for the same borrower using the same reasons, which is important for a fair comparison. The Evaluation tab shows the rubric-level result, including the 0.60 versus 0.76 statutory-accuracy score. The demo is static and reproducible: it renders saved project artifacts rather than making live API calls.</w:t>
      </w:r>
    </w:p>
    <w:p>
      <w:pPr>
        <w:spacing w:before="160"/>
      </w:pPr>
      <w:r>
        <w:rPr>
          <w:b/>
          <w:color w:val="17213F"/>
          <w:sz w:val="24"/>
        </w:rPr>
        <w:t>Slide 9 — Takeaways</w:t>
      </w:r>
      <w:r>
        <w:rPr>
          <w:color w:val="506082"/>
          <w:sz w:val="20"/>
        </w:rPr>
        <w:t xml:space="preserve">  |  Sidd · 5:20–5:40</w:t>
      </w:r>
    </w:p>
    <w:p>
      <w:pPr>
        <w:spacing w:after="80" w:line="252" w:lineRule="auto"/>
      </w:pPr>
      <w:r>
        <w:t>The takeaway is that the classifier was only one layer of the solution. What makes this project stronger is the decision trace: leakage-aware data, calibrated risk ranking, capped operating policy, SHAP explanations, regulatory retrieval, and explicit evaluation. If we were hardening this like a production credit-risk system, the next steps would be larger validation, fairness and proxy-risk review, deterministic legal-field validators, monitoring for drift, and human compliance sign-off. CreditRiskRAG shows how to turn a default-risk score into an auditable explanation workflow.</w:t>
      </w:r>
    </w:p>
    <w:p>
      <w:pPr>
        <w:pStyle w:val="Heading1"/>
      </w:pPr>
      <w:r>
        <w:t>Delivery notes for a senior technical tone</w:t>
      </w:r>
    </w:p>
    <w:p>
      <w:r>
        <w:rPr>
          <w:b/>
          <w:color w:val="17213F"/>
        </w:rPr>
        <w:t xml:space="preserve">Say “decision trace,” not only “model.” </w:t>
      </w:r>
      <w:r>
        <w:t>This signals production ML thinking and covers governance, auditability, and compliance-adjacent reasoning.</w:t>
      </w:r>
    </w:p>
    <w:p>
      <w:r>
        <w:rPr>
          <w:b/>
          <w:color w:val="17213F"/>
        </w:rPr>
        <w:t xml:space="preserve">Avoid overclaiming compliance. </w:t>
      </w:r>
      <w:r>
        <w:t>Use “adverse-action-style,” “research prototype,” and “not compliance-approved.”</w:t>
      </w:r>
    </w:p>
    <w:p>
      <w:r>
        <w:rPr>
          <w:b/>
          <w:color w:val="17213F"/>
        </w:rPr>
        <w:t xml:space="preserve">Keep metrics in context. </w:t>
      </w:r>
      <w:r>
        <w:t>PR-AUC 0.381 is useful because the model concentrates defaults: top-20% bad rate is about 40% versus 21% base.</w:t>
      </w:r>
    </w:p>
    <w:p>
      <w:r>
        <w:rPr>
          <w:b/>
          <w:color w:val="17213F"/>
        </w:rPr>
        <w:t xml:space="preserve">Show the demo live. </w:t>
      </w:r>
      <w:r>
        <w:t>A screenshot is not enough for the Demo rubric. Click Overview, Letters, and Evaluation.</w:t>
      </w:r>
    </w:p>
    <w:p>
      <w:pPr>
        <w:pStyle w:val="Heading1"/>
      </w:pPr>
      <w:r>
        <w:t>Demo fallback line</w:t>
      </w:r>
    </w:p>
    <w:p>
      <w:pPr>
        <w:spacing w:line="252" w:lineRule="auto"/>
      </w:pPr>
      <w:r>
        <w:t>If the live site loads slowly, say: “This demo is a static GitHub Pages deployment, so the application view is reproducible from saved artifacts. The key proof points are the side-by-side letters and the evaluation tab showing 0.60 versus 0.76.”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1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1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