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12 - ASSURANCES DU PRENEUR</w:t>
      </w:r>
    </w:p>
    <w:p>
      <w:r>
        <w:t xml:space="preserve">Le Preneur souscrira une police multirisque professionnelle.</w:t>
      </w:r>
    </w:p>
    <w:p>
      <w:r>
        <w:t xml:space="preserve">Toute franchise demeure a la charge du preneur.</w:t>
      </w:r>
    </w:p>
  </w:body>
</w:document>
</file>