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Investeringsrapport</w:t>
      </w:r>
    </w:p>
    <w:p>
      <w:r>
        <w:t>Datum: 2026-06-19</w:t>
      </w:r>
    </w:p>
    <w:p/>
    <w:p>
      <w:r>
        <w:t>**Investeringsrapport**</w:t>
      </w:r>
    </w:p>
    <w:p/>
    <w:p>
      <w:r>
        <w:t xml:space="preserve">**Riskprofil:** HÖG  </w:t>
      </w:r>
    </w:p>
    <w:p>
      <w:r>
        <w:t>**Tidshorisont:** LÅNG SIKT</w:t>
      </w:r>
    </w:p>
    <w:p/>
    <w:p>
      <w:r>
        <w:t>---</w:t>
      </w:r>
    </w:p>
    <w:p/>
    <w:p>
      <w:pPr>
        <w:pStyle w:val="Heading1"/>
      </w:pPr>
      <w:r>
        <w:t>**TOP 3 AKTIER ATT KÖPA**</w:t>
      </w:r>
    </w:p>
    <w:p/>
    <w:p>
      <w:r>
        <w:t>1. **Apple Inc. (AAPL)**</w:t>
      </w:r>
    </w:p>
    <w:p>
      <w:r>
        <w:t xml:space="preserve">   - Motivering: Apple har en stark marknadsposition inom konsumentelektronik och en lojal kundbas. Företaget fortsätter att innovera och expandera sina tjänster, vilket ger potential för långsiktig tillväxt.</w:t>
      </w:r>
    </w:p>
    <w:p/>
    <w:p>
      <w:r>
        <w:t>2. **NVIDIA Corporation (NVDA)**</w:t>
      </w:r>
    </w:p>
    <w:p>
      <w:r>
        <w:t xml:space="preserve">   - Motivering: NVIDIA är ledande inom grafikteknologi och AI, vilket gör det till en nyckelaktör i den växande tekniksektorn. Med ökande efterfrågan på AI-lösningar förväntas företaget fortsätta växa.</w:t>
      </w:r>
    </w:p>
    <w:p/>
    <w:p>
      <w:r>
        <w:t>3. **Microsoft Corporation (MSFT)**</w:t>
      </w:r>
    </w:p>
    <w:p>
      <w:r>
        <w:t xml:space="preserve">   - Motivering: Microsoft har en diversifierad produktportfölj och starka intäkter från molntjänster. Företagets fokus på digital transformation och AI-positionering gör det till en attraktiv investering.</w:t>
      </w:r>
    </w:p>
    <w:p/>
    <w:p>
      <w:r>
        <w:t>---</w:t>
      </w:r>
    </w:p>
    <w:p/>
    <w:p>
      <w:pPr>
        <w:pStyle w:val="Heading1"/>
      </w:pPr>
      <w:r>
        <w:t>**TOP 3 ATT UNDVIKA**</w:t>
      </w:r>
    </w:p>
    <w:p/>
    <w:p>
      <w:r>
        <w:t>1. **ABB Ltd (ABB.ST)**</w:t>
      </w:r>
    </w:p>
    <w:p>
      <w:r>
        <w:t xml:space="preserve">   - Motivering: Trots att ABB är en stor aktör inom elektrisk utrustning, har företaget ett högt PE-tal, vilket kan indikera att aktien är övervärderad i förhållande till sina framtida vinster.</w:t>
      </w:r>
    </w:p>
    <w:p/>
    <w:p>
      <w:r>
        <w:t>2. **Sandvik AB (SAND.ST)**</w:t>
      </w:r>
    </w:p>
    <w:p>
      <w:r>
        <w:t xml:space="preserve">   - Motivering: Sandvik har ett relativt högt PE-tal och verkar inom en bransch som kan vara cyklisk. Detta kan innebära risker i en osäker ekonomisk miljö.</w:t>
      </w:r>
    </w:p>
    <w:p/>
    <w:p>
      <w:r>
        <w:t>3. **SSAB AB ser. A (SSAB-A.ST)**</w:t>
      </w:r>
    </w:p>
    <w:p>
      <w:r>
        <w:t xml:space="preserve">   - Motivering: SSAB är verksamt inom stålindustrin, som är känslig för konjunkturcykler. Med ett lågt marknadsvärde och osäkerhet kring efterfrågan kan aktien vara riskfylld.</w:t>
      </w:r>
    </w:p>
    <w:p/>
    <w:p>
      <w:r>
        <w:t>---</w:t>
      </w:r>
    </w:p>
    <w:p/>
    <w:p>
      <w:r>
        <w:t>**PORTFÖLJ:**</w:t>
      </w:r>
    </w:p>
    <w:p/>
    <w:p>
      <w:r>
        <w:t>- **Apple Inc. (AAPL): 30%**</w:t>
      </w:r>
    </w:p>
    <w:p>
      <w:r>
        <w:t>- **NVIDIA Corporation (NVDA): 30%**</w:t>
      </w:r>
    </w:p>
    <w:p>
      <w:r>
        <w:t>- **Microsoft Corporation (MSFT): 30%**</w:t>
      </w:r>
    </w:p>
    <w:p>
      <w:r>
        <w:t>- **Kassa (eller likvida medel): 10%**</w:t>
      </w:r>
    </w:p>
    <w:p/>
    <w:p>
      <w:r>
        <w:t>---</w:t>
      </w:r>
    </w:p>
    <w:p/>
    <w:p>
      <w:pPr>
        <w:pStyle w:val="Heading1"/>
      </w:pPr>
      <w:r>
        <w:t>Strategi</w:t>
      </w:r>
    </w:p>
    <w:p/>
    <w:p>
      <w:pPr>
        <w:pStyle w:val="Heading1"/>
      </w:pPr>
      <w:r>
        <w:t>Strategi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