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Investeringsrapport</w:t>
      </w:r>
    </w:p>
    <w:p>
      <w:r>
        <w:t>Datum: 2026-06-19 08:28</w:t>
      </w:r>
    </w:p>
    <w:p/>
    <w:p>
      <w:r>
        <w:t>**Investeringsrapport**</w:t>
      </w:r>
    </w:p>
    <w:p/>
    <w:p>
      <w:r>
        <w:t xml:space="preserve">**Riskprofil:** HÖG  </w:t>
      </w:r>
    </w:p>
    <w:p>
      <w:r>
        <w:t xml:space="preserve">**Tidshorisont:** LÅNG SIKT  </w:t>
      </w:r>
    </w:p>
    <w:p/>
    <w:p>
      <w:pPr>
        <w:pStyle w:val="Heading1"/>
      </w:pPr>
      <w:r>
        <w:t>**TOP 3 ATT KÖPA:**</w:t>
      </w:r>
    </w:p>
    <w:p/>
    <w:p>
      <w:r>
        <w:t>1. **Apple Inc. (AAPL)**</w:t>
      </w:r>
    </w:p>
    <w:p>
      <w:r>
        <w:t xml:space="preserve">   - **Motivering:** Med ett starkt varumärke och en stabil marknadsposition inom konsumentelektronik, har Apple visat en konstant tillväxt. PE-talet är rimligt i förhållande till dess tillväxtpotential.</w:t>
      </w:r>
    </w:p>
    <w:p/>
    <w:p>
      <w:r>
        <w:t>2. **NVIDIA Corporation (NVDA)**</w:t>
      </w:r>
    </w:p>
    <w:p>
      <w:r>
        <w:t xml:space="preserve">   - **Motivering:** NVIDIA är ledande inom halvledarindustrin och drar nytta av den växande efterfrågan på grafikprocessorer och AI-teknologi. Företaget har en stark marknadsposition och ett attraktivt PE-tal.</w:t>
      </w:r>
    </w:p>
    <w:p/>
    <w:p>
      <w:r>
        <w:t>3. **Microsoft Corporation (MSFT)**</w:t>
      </w:r>
    </w:p>
    <w:p>
      <w:r>
        <w:t xml:space="preserve">   - **Motivering:** Microsoft har en diversifierad affärsmodell och stark tillväxt inom molntjänster. PE-talet är fördelaktigt och företaget har en stabil finansiell ställning.</w:t>
      </w:r>
    </w:p>
    <w:p/>
    <w:p>
      <w:pPr>
        <w:pStyle w:val="Heading1"/>
      </w:pPr>
      <w:r>
        <w:t>**TOP 3 ATT UNDVIKA:**</w:t>
      </w:r>
    </w:p>
    <w:p/>
    <w:p>
      <w:r>
        <w:t>1. **ABB Ltd (ABB.ST)**</w:t>
      </w:r>
    </w:p>
    <w:p>
      <w:r>
        <w:t xml:space="preserve">   - **Motivering:** Trots att ABB är en stor aktör inom elektrisk utrustning, är PE-talet högt vilket kan indikera att aktien är övervärderad.</w:t>
      </w:r>
    </w:p>
    <w:p/>
    <w:p>
      <w:r>
        <w:t>2. **Sandvik AB (SAND.ST)**</w:t>
      </w:r>
    </w:p>
    <w:p>
      <w:r>
        <w:t xml:space="preserve">   - **Motivering:** Sandvik har ett relativt högt PE-tal och kan vara känslig för konjunktursvängningar inom industrin, vilket ökar risken.</w:t>
      </w:r>
    </w:p>
    <w:p/>
    <w:p>
      <w:r>
        <w:t>3. **SSAB AB ser. A (SSAB-A.ST)**</w:t>
      </w:r>
    </w:p>
    <w:p>
      <w:pPr>
        <w:pStyle w:val="Heading1"/>
      </w:pPr>
      <w:r>
        <w:t>Portfölj</w:t>
      </w:r>
    </w:p>
    <w:p/>
    <w:p>
      <w:pPr>
        <w:pStyle w:val="Heading1"/>
      </w:pPr>
      <w:r>
        <w:t>Portfölj</w:t>
      </w:r>
    </w:p>
    <w:p>
      <w:r>
        <w:t>- Apple Inc. (AAPL): 30%</w:t>
      </w:r>
    </w:p>
    <w:p>
      <w:r>
        <w:t>- NVIDIA Corporation (NVDA): 30%</w:t>
      </w:r>
    </w:p>
    <w:p>
      <w:r>
        <w:t>- Microsoft Corporation (MSFT): 25%</w:t>
      </w:r>
    </w:p>
    <w:p>
      <w:r>
        <w:t>- Övriga (likviditet och diversifiering): 15%</w:t>
      </w:r>
    </w:p>
    <w:p/>
    <w:p>
      <w:r>
        <w:t>**KÖP/SELL SIGNALER:**</w:t>
      </w:r>
    </w:p>
    <w:p>
      <w:r>
        <w:t>- **KÖP:** Apple Inc. (AAPL), NVIDIA Corporation (NVDA), Microsoft Corporation (MSFT)</w:t>
      </w:r>
    </w:p>
    <w:p>
      <w:r>
        <w:t>- **SÄLJ:** ABB Ltd (ABB.ST), Sandvik AB (SAND.ST), SSAB AB ser. A (SSAB-A.ST)</w:t>
      </w:r>
    </w:p>
    <w:p>
      <w:r>
        <w:t>- **BEHÅLL:** Ingen av de rekommenderade aktierna</w:t>
      </w:r>
    </w:p>
    <w:p/>
    <w:p>
      <w:pPr>
        <w:pStyle w:val="Heading1"/>
      </w:pPr>
      <w:r>
        <w:t>Strategi</w:t>
      </w:r>
    </w:p>
    <w:p>
      <w:pPr>
        <w:pStyle w:val="Heading1"/>
      </w:pPr>
      <w:r>
        <w:t>Portfölj</w:t>
      </w:r>
    </w:p>
    <w:p>
      <w:r>
        <w:br w:type="page"/>
      </w:r>
    </w:p>
    <w:p>
      <w:pPr>
        <w:pStyle w:val="Heading1"/>
      </w:pPr>
      <w:r>
        <w:t>Marknadsdiagram</w:t>
      </w:r>
    </w:p>
    <w:p>
      <w:r>
        <w:t>AAPL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AP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MSFT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SF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NVDA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VD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VOLV-B.ST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LV-B.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ABB.ST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B.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