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F" w:rsidRDefault="004666CF" w:rsidP="00BE0E6A">
      <w:pPr>
        <w:pStyle w:val="a5"/>
        <w:rPr>
          <w:rFonts w:ascii="Tahoma" w:hAnsi="Tahoma" w:cs="Tahoma"/>
          <w:color w:val="474747"/>
          <w:sz w:val="18"/>
          <w:szCs w:val="18"/>
        </w:rPr>
      </w:pP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斗地主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是一款最初流行于湖北三人扑克游戏，两个农民联合对抗一名地主，由于其规则简单、娱乐性强，迅速风靡全国。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欢乐斗地主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是在传统规则的基础上，引入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欢乐豆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积分，并且增加抢地主、明牌、癞子等一系列新玩法，而推出的一款更紧张刺激、更富于变化的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斗地主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游戏。</w:t>
      </w:r>
      <w:r>
        <w:rPr>
          <w:rFonts w:ascii="Tahoma" w:hAnsi="Tahoma" w:cs="Tahoma"/>
          <w:color w:val="474747"/>
          <w:sz w:val="18"/>
          <w:szCs w:val="18"/>
        </w:rPr>
        <w:br/>
      </w:r>
      <w:r>
        <w:rPr>
          <w:rFonts w:ascii="Tahoma" w:hAnsi="Tahoma" w:cs="Tahoma"/>
          <w:color w:val="474747"/>
          <w:sz w:val="18"/>
          <w:szCs w:val="18"/>
        </w:rPr>
        <w:t>现在，欢乐斗地主已成为互联网上最热门、最火爆、最受玩家喜爱的棋牌游戏，没有之一。后续我们还将推出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欢乐挑战赛</w:t>
      </w:r>
      <w:r>
        <w:rPr>
          <w:rFonts w:ascii="Tahoma" w:hAnsi="Tahoma" w:cs="Tahoma"/>
          <w:color w:val="474747"/>
          <w:sz w:val="18"/>
          <w:szCs w:val="18"/>
        </w:rPr>
        <w:t>"</w:t>
      </w:r>
      <w:r>
        <w:rPr>
          <w:rFonts w:ascii="Tahoma" w:hAnsi="Tahoma" w:cs="Tahoma"/>
          <w:color w:val="474747"/>
          <w:sz w:val="18"/>
          <w:szCs w:val="18"/>
        </w:rPr>
        <w:t>模式，让玩家在休闲之余更能体验竞技的乐趣。</w:t>
      </w:r>
      <w:r>
        <w:rPr>
          <w:rFonts w:ascii="Tahoma" w:hAnsi="Tahoma" w:cs="Tahoma"/>
          <w:color w:val="474747"/>
          <w:sz w:val="18"/>
          <w:szCs w:val="18"/>
        </w:rPr>
        <w:t xml:space="preserve"> </w:t>
      </w:r>
    </w:p>
    <w:p w:rsidR="004666CF" w:rsidRDefault="004666CF" w:rsidP="004666CF">
      <w:pPr>
        <w:pStyle w:val="a5"/>
        <w:rPr>
          <w:rFonts w:ascii="Tahoma" w:hAnsi="Tahoma" w:cs="Tahoma"/>
          <w:color w:val="474747"/>
          <w:sz w:val="18"/>
          <w:szCs w:val="18"/>
        </w:rPr>
      </w:pPr>
      <w:r>
        <w:rPr>
          <w:rFonts w:ascii="Tahoma" w:hAnsi="Tahoma" w:cs="Tahoma"/>
          <w:noProof/>
          <w:color w:val="474747"/>
          <w:sz w:val="18"/>
          <w:szCs w:val="18"/>
        </w:rPr>
        <w:drawing>
          <wp:inline distT="0" distB="0" distL="0" distR="0">
            <wp:extent cx="5267325" cy="3797935"/>
            <wp:effectExtent l="0" t="0" r="9525" b="0"/>
            <wp:docPr id="1" name="图片 1" descr="http://qqgamecdnimg.qq.com/help/images/rul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qgamecdnimg.qq.com/help/images/rule1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F" w:rsidRPr="004666CF" w:rsidRDefault="004666CF" w:rsidP="004666CF">
      <w:pPr>
        <w:widowControl/>
        <w:spacing w:after="225"/>
        <w:ind w:left="3465"/>
        <w:jc w:val="left"/>
        <w:outlineLvl w:val="4"/>
        <w:rPr>
          <w:rFonts w:ascii="Tahoma" w:eastAsia="宋体" w:hAnsi="Tahoma" w:cs="Tahoma"/>
          <w:b/>
          <w:bCs/>
          <w:color w:val="474747"/>
          <w:kern w:val="0"/>
          <w:szCs w:val="21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Cs w:val="21"/>
        </w:rPr>
        <w:t>游戏规则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【发牌】：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一副牌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54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张，一人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17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张，留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张做底牌，在确定地主之前玩家不能看底牌。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【叫牌】：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叫牌按出牌的顺序轮流进行，叫牌时可以选择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叫地主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"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不叫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。如果有玩家选择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叫地主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则立即结束叫牌，该玩家为地主；如果都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不叫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，则重新发牌，重新叫牌，直到有人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叫地主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为止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【第一个叫牌的玩家】：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1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、第一轮叫牌的玩家由系统随机选定。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、如果有玩家在叫牌前选择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，则第一个选择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的玩家优先获得叫牌权。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、如果有玩家在叫牌前选择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，且三名玩家都不选择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叫地主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，则系统选择第一个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的玩家为地主。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【抢地主】：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1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、当某位玩家叫完地主后，按照次序每位玩家均有且只有一次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的机会。玩家选择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后，如果没有其他玩家继续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则地主权利属于该名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的玩家。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lastRenderedPageBreak/>
        <w:t xml:space="preserve">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、如果没有任何玩家选择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，则地主权利属于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叫地主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的玩家。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、每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一次，游戏倍数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、凡是有过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不叫地主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操作的玩家无法进行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抢地主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的操作。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【明牌】：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1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、明牌为亮明手上所有牌进行游戏，主要分为三种：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明牌开始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发牌明牌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、明牌开始：在还没发牌时，就选择明牌并保持开始游戏，游戏倍数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、发牌明牌：在发牌的过程中选择明牌游戏，根据发牌数量的多少游戏倍数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、明牌：在收完三张底牌后可以选择明牌并开始游戏，游戏倍数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 xml:space="preserve">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、若同时有多名玩家选择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则按照最大的明牌倍数计算。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【加倍】：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1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、在选择抢完地主后，地主出牌前增加一个翻倍选择功能。在抢完地主后地主把底牌拿到手中，出现翻倍选择功能，用户可以选择加倍或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加倍。但若要进行加倍操作时，玩家必须符合特定条件。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、在限制时间内完成加倍或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加倍的操作后，必须等待其他玩家进行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完相关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操作或直到限制时间到，则游戏开始由地主出牌。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3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、加倍后游戏得分计算为：倍数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每分对应欢乐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关系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自己加倍数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对手加倍数，若有加倍则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，若没加倍则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*1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4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、加倍条件为规定的用户欢乐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数量超过该房间规定的值即可。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5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、规定对象如下：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1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、加倍用户为地主时，必须全部玩家的欢乐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数量全部超过房间规定数值。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、加倍用户为农民时，必须自己和地主玩家的欢乐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数量全部超过房间规定数值。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【出牌】：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将三张底牌交给地主，并亮出底牌让所有人都能看到。地主首先出牌，然后按逆时针顺序依次出牌，轮到用户跟牌时，用户可以选择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"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或出比上一个玩家大的牌。某一玩家出完牌时结束本盘。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【牌型】：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火</w:t>
      </w:r>
      <w:bookmarkStart w:id="0" w:name="_GoBack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箭：即双王（大王和小王），最大的牌。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炸弹：四张同数值牌（如四个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7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单牌：单个牌（如红桃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对牌：数值相同的两张牌（如梅花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4+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方块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三张牌：数值相同的三张牌（如三个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J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三带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一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：数值相同的三张牌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+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一张单牌或一对牌。例如：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333+6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或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444+99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单顺：五张或更多的连续单牌（如：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45678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或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78910JQK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）。不包括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点和双王。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双顺：三对或更多的连续对牌（如：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334455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7788991010JJ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）。不包括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点和双王。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三顺：二个或更多的连续三张牌（如：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333444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555666777888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）。不包括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点和双王。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飞机带翅膀：三顺</w:t>
      </w:r>
      <w:bookmarkEnd w:id="0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＋同数量的单牌（或同数量的对牌）。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444555+79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或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333444555+7799JJ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四带二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：四张牌＋两手牌。（注意：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四带二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不是炸弹）。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5555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8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或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4444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55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77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</w:t>
      </w: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癞子场</w:t>
      </w: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的新增牌型】：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癞子，也叫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混牌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，就是可以通用的万能牌（除了不能用作大小王）。癞子可以和其他牌搭配成上述各种牌型；但癞子单独出时不能当作万能牌，只能作为其本身使用。例如：癞子为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44556 + 7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会作为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445566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的双顺使用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；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77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单出时，只能作为一对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使用。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lastRenderedPageBreak/>
        <w:t>癞子除了可以和其他牌组成以上各种牌型外，还会有以下几种特殊炸弹牌型：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软炸弹：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由癞子和非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搭配而成的炸弹。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（例如癞子为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333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就构成了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3333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软炸弹。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77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55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就构成了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7777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软炸弹）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硬炸弹：四张同数值的非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组成的炸弹。（例如癞子为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，四个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7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就是硬炸弹）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纯癞子炸弹：四张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组成的炸弹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（例如癞子为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，四个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即为纯癞子炸弹）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【牌型的大小】：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火箭最大，可以打任意其他的牌。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炸弹比火箭小，比其他牌大。都是炸弹时按牌的分值比大小。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(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对于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癞子场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火箭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&gt;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纯癞子炸弹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&gt;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硬炸弹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&gt;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软炸弹。同等级别的炸弹按牌的分值比大小。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)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除火箭和炸弹外，其他牌必须要牌型相同且总张数相同才能比大小。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单牌按分值比大小，依次是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大王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&gt;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小王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&gt;2&gt;A&gt;K&gt;Q&gt;J&gt;10&gt;9&gt;8&gt;7&gt;6&gt;5&gt;4&gt;3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，不分花色。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对牌、三张牌都按分值比大小。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顺牌按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最大的一张牌的分值来比大小。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飞机带翅膀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和四带二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按其中的三顺和四张部分来比，带的牌不影响大小。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癞子场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中癞子搭配出的牌型和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原装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的牌型不区分大小。）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【胜负判定</w:t>
      </w: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任意一家出完牌后结束游戏，若是地主先出完牌则地主胜，否则另外两家胜。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【计分规则】：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在欢乐斗地主游戏中，以欢乐积分计划中累计产生的积分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欢乐豆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做为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游戏计分单位。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完成一盘游戏后玩家的欢乐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可能会发生变化，同时每盘游戏结束后，系统将自动回收每位玩家一定数量的欢乐豆。具体计算公式如下：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失败玩家的欢乐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消耗：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X×N+A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胜利玩家的欢乐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奖励：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X×N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－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A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系统回收的欢乐豆：根据不同游戏房间而不同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其中：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X=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游戏基数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=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积分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=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底分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×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×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玩家身份系数（农民为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1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地主为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）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N=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房间系数，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每个房间不同以具体房间为准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A=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系统每盘自动回收的欢乐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数量，根据不同游戏房间而不同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底分：叫牌的分数为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倍数：初始根据房间配置而不同，其他倍数根据游戏的行为计算相应的倍数。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每抢地主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、每炸弹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*2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、明牌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*2-5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、春天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（癞子场中：软炸弹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、硬炸弹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*4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、纯癞子炸弹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*4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王炸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*4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；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癞子场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的积分会在上述积分计算基础上乘以癞子系数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&lt;0.25&gt;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，并且每局所得积分的上限为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10000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分。）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游戏结束后，胜利玩家可以获得的欢乐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数量不只和游戏倍数有关，在某些情况下还有下列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点有关：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1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胜利玩家身上携带的欢乐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数量的多少决定其获胜后能获得的欢乐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数量。携带的欢乐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数量和获胜后获得的欢乐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数量成正比。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2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、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失败玩家身上所携带的欢乐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数量，在有的情况下失败玩家携带的欢乐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豆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数量不够扣时，只扣到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为止，胜利玩家只能获得失败玩家所扣除的欢乐豆。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lastRenderedPageBreak/>
        <w:t>逃跑计分：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地主逃跑：如果逃跑时的游戏倍数不足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10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（指游戏行为的倍数非初始倍数），按照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20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分数扣。如果超过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10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按照实际的分数的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扣除。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农民逃跑：如果逃跑时的游戏倍数不足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10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（指游戏行为的倍数非初始倍数），按照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10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分数扣。如果超过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10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按照实际的分数的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2 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倍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扣除。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逃跑计算时将计算当</w:t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盘所有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的炸弹数量，无论是否炸出。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玩家点击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加入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后，系统将自动撮合，撮合成功后直接安排玩家坐下并开始游戏，在系统撮合成功后、游戏开始前玩家如果退出游戏一律视为逃跑。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例如：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  <w:t>N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（房间系数）＝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1000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X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A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为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，地主胜利。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proofErr w:type="gramStart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则胜利</w:t>
      </w:r>
      <w:proofErr w:type="gramEnd"/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玩家（地主）奖励的欢乐豆＝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6×2×1000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12000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欢乐豆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失败玩家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A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（农民）消耗的欢乐豆＝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6×1000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欢乐豆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失败玩家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B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（农民）消耗的欢乐豆＝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6×1000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＝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6000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欢乐豆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系统在该盘游戏结束时自动回收了每位玩家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50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>欢乐豆。</w:t>
      </w:r>
      <w:r w:rsidRPr="004666CF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4666CF" w:rsidRPr="004666CF" w:rsidRDefault="004666CF" w:rsidP="004666CF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4666CF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级别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960"/>
      </w:tblGrid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b/>
                <w:bCs/>
                <w:color w:val="474747"/>
                <w:kern w:val="0"/>
                <w:sz w:val="18"/>
                <w:szCs w:val="18"/>
              </w:rPr>
              <w:t>等级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b/>
                <w:bCs/>
                <w:color w:val="474747"/>
                <w:kern w:val="0"/>
                <w:sz w:val="18"/>
                <w:szCs w:val="18"/>
              </w:rPr>
              <w:t>积分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包身工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100 </w:t>
            </w: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以下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短工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100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长工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200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佃户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400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贫农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600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渔夫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800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猎人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1000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中农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2000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富农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4000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掌柜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6000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商人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10000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衙役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20000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小财主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50000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大财主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100000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小地主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200000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大地主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500000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知县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1000000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通判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2000000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知府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5000000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lastRenderedPageBreak/>
              <w:t>总督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10000000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巡抚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20000000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丞相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 xml:space="preserve">50000000 </w:t>
            </w:r>
          </w:p>
        </w:tc>
      </w:tr>
      <w:tr w:rsidR="004666CF" w:rsidRPr="004666CF" w:rsidTr="00466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帝王</w:t>
            </w:r>
          </w:p>
        </w:tc>
        <w:tc>
          <w:tcPr>
            <w:tcW w:w="0" w:type="auto"/>
            <w:vAlign w:val="center"/>
            <w:hideMark/>
          </w:tcPr>
          <w:p w:rsidR="004666CF" w:rsidRPr="004666CF" w:rsidRDefault="004666CF" w:rsidP="004666CF">
            <w:pPr>
              <w:widowControl/>
              <w:jc w:val="left"/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</w:pPr>
            <w:r w:rsidRPr="004666CF">
              <w:rPr>
                <w:rFonts w:ascii="Tahoma" w:eastAsia="宋体" w:hAnsi="Tahoma" w:cs="Tahoma"/>
                <w:color w:val="474747"/>
                <w:kern w:val="0"/>
                <w:sz w:val="18"/>
                <w:szCs w:val="18"/>
              </w:rPr>
              <w:t>100000000</w:t>
            </w:r>
          </w:p>
        </w:tc>
      </w:tr>
    </w:tbl>
    <w:p w:rsidR="00C27299" w:rsidRDefault="00C27299">
      <w:pPr>
        <w:rPr>
          <w:rFonts w:hint="eastAsia"/>
        </w:rPr>
      </w:pPr>
    </w:p>
    <w:p w:rsidR="003E15BD" w:rsidRDefault="003E15BD" w:rsidP="003E15BD">
      <w:pPr>
        <w:widowControl/>
        <w:spacing w:after="225"/>
        <w:jc w:val="left"/>
        <w:outlineLvl w:val="4"/>
        <w:rPr>
          <w:rFonts w:hint="eastAsia"/>
        </w:rPr>
      </w:pPr>
    </w:p>
    <w:p w:rsidR="003E15BD" w:rsidRPr="003E15BD" w:rsidRDefault="003E15BD" w:rsidP="003E15BD">
      <w:pPr>
        <w:widowControl/>
        <w:spacing w:after="225"/>
        <w:jc w:val="left"/>
        <w:outlineLvl w:val="4"/>
        <w:rPr>
          <w:rFonts w:ascii="Tahoma" w:eastAsia="宋体" w:hAnsi="Tahoma" w:cs="Tahoma"/>
          <w:b/>
          <w:bCs/>
          <w:color w:val="474747"/>
          <w:kern w:val="0"/>
          <w:szCs w:val="21"/>
        </w:rPr>
      </w:pPr>
      <w:r w:rsidRPr="003E15BD">
        <w:rPr>
          <w:rFonts w:ascii="Tahoma" w:eastAsia="宋体" w:hAnsi="Tahoma" w:cs="Tahoma"/>
          <w:b/>
          <w:bCs/>
          <w:color w:val="474747"/>
          <w:kern w:val="0"/>
          <w:szCs w:val="21"/>
        </w:rPr>
        <w:t>全新玩法：天地癞子</w:t>
      </w:r>
    </w:p>
    <w:p w:rsidR="003E15BD" w:rsidRPr="003E15BD" w:rsidRDefault="003E15BD" w:rsidP="003E15B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"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癞子场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"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的新增牌型】：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癞子，也叫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混牌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"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，就是可以通用的万能牌（除了不能用作大小王）。癞子可以和其他牌搭配成上述各种牌型；但癞子单独出时不能当作万能牌，只能作为其本身使用。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例如：癞子为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44556 + 7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会作为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445566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的双顺使用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；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单出时，只能作为一对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使用。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癞子除了可以和其他牌组成以上各种牌型外，还会有以下几种特殊炸弹牌型：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软炸弹：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由癞子和非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搭配而成的炸弹。（例如癞子为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333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就构成了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3333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软炸弹。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就构成了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7777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软炸弹）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硬炸弹：四张同数值的非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组成的炸弹。（例如癞子为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6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，四个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就是硬炸弹）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纯癞子炸弹：四张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组成的炸弹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（例如癞子为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，四个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即为纯癞子炸弹）</w:t>
      </w:r>
    </w:p>
    <w:p w:rsidR="003E15BD" w:rsidRPr="003E15BD" w:rsidRDefault="003E15BD" w:rsidP="003E15BD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474747"/>
          <w:kern w:val="0"/>
          <w:sz w:val="18"/>
          <w:szCs w:val="18"/>
        </w:rPr>
      </w:pP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【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"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天地癞子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"</w:t>
      </w:r>
      <w:r w:rsidRPr="003E15BD">
        <w:rPr>
          <w:rFonts w:ascii="Tahoma" w:eastAsia="宋体" w:hAnsi="Tahoma" w:cs="Tahoma"/>
          <w:b/>
          <w:bCs/>
          <w:color w:val="474747"/>
          <w:kern w:val="0"/>
          <w:sz w:val="18"/>
          <w:szCs w:val="18"/>
        </w:rPr>
        <w:t>新玩法】：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在原有癞子玩法的基础上，新增一个点数作为癞子。一局中癞子数量可达八张，其中大小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王可以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成为癞子。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由癞子和非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癞子牌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搭配而成四张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牌以上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的炸弹成为长炸弹，张数越多炸弹越大。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（例如癞子为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，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3333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就构成了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33333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五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张的软炸弹。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777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＋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555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就构成了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777777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六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张的软炸弹）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四张以上的癞子可单独组成长癞子炸弹，张数越多炸弹越大。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br/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具体大小关系：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四软炸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&lt;</w:t>
      </w:r>
      <w:proofErr w:type="gramStart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四硬炸</w:t>
      </w:r>
      <w:proofErr w:type="gramEnd"/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&lt;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四癞子炸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&lt;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五软炸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&lt;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五癞子炸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&lt;…&lt;12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软炸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&lt;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>王炸。</w:t>
      </w:r>
      <w:r w:rsidRPr="003E15BD">
        <w:rPr>
          <w:rFonts w:ascii="Tahoma" w:eastAsia="宋体" w:hAnsi="Tahoma" w:cs="Tahoma"/>
          <w:color w:val="474747"/>
          <w:kern w:val="0"/>
          <w:sz w:val="18"/>
          <w:szCs w:val="18"/>
        </w:rPr>
        <w:t xml:space="preserve"> </w:t>
      </w:r>
    </w:p>
    <w:p w:rsidR="003E15BD" w:rsidRPr="003E15BD" w:rsidRDefault="003E15BD"/>
    <w:sectPr w:rsidR="003E15BD" w:rsidRPr="003E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87" w:rsidRDefault="006D4787" w:rsidP="004666CF">
      <w:r>
        <w:separator/>
      </w:r>
    </w:p>
  </w:endnote>
  <w:endnote w:type="continuationSeparator" w:id="0">
    <w:p w:rsidR="006D4787" w:rsidRDefault="006D4787" w:rsidP="0046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87" w:rsidRDefault="006D4787" w:rsidP="004666CF">
      <w:r>
        <w:separator/>
      </w:r>
    </w:p>
  </w:footnote>
  <w:footnote w:type="continuationSeparator" w:id="0">
    <w:p w:rsidR="006D4787" w:rsidRDefault="006D4787" w:rsidP="00466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13"/>
    <w:rsid w:val="00061913"/>
    <w:rsid w:val="003E15BD"/>
    <w:rsid w:val="004666CF"/>
    <w:rsid w:val="006D4787"/>
    <w:rsid w:val="008D29F2"/>
    <w:rsid w:val="00BE0E6A"/>
    <w:rsid w:val="00C27299"/>
    <w:rsid w:val="00F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6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66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666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66CF"/>
    <w:rPr>
      <w:sz w:val="18"/>
      <w:szCs w:val="18"/>
    </w:rPr>
  </w:style>
  <w:style w:type="character" w:styleId="a7">
    <w:name w:val="Strong"/>
    <w:basedOn w:val="a0"/>
    <w:uiPriority w:val="22"/>
    <w:qFormat/>
    <w:rsid w:val="004666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6C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66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666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66CF"/>
    <w:rPr>
      <w:sz w:val="18"/>
      <w:szCs w:val="18"/>
    </w:rPr>
  </w:style>
  <w:style w:type="character" w:styleId="a7">
    <w:name w:val="Strong"/>
    <w:basedOn w:val="a0"/>
    <w:uiPriority w:val="22"/>
    <w:qFormat/>
    <w:rsid w:val="00466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6171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9161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7159">
                      <w:marLeft w:val="3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4723D-2B93-482D-B7A8-4134B020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630</Words>
  <Characters>3593</Characters>
  <Application>Microsoft Office Word</Application>
  <DocSecurity>0</DocSecurity>
  <Lines>29</Lines>
  <Paragraphs>8</Paragraphs>
  <ScaleCrop>false</ScaleCrop>
  <Company>微软中国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2016-04-19T08:17:00Z</dcterms:created>
  <dcterms:modified xsi:type="dcterms:W3CDTF">2016-04-19T08:34:00Z</dcterms:modified>
</cp:coreProperties>
</file>