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44"/>
        </w:rPr>
        <w:t>Aufgabe 3 – Erstellung eines Unit-Tests</w:t>
      </w:r>
    </w:p>
    <w:p>
      <w:pPr>
        <w:jc w:val="center"/>
      </w:pPr>
      <w:r>
        <w:rPr>
          <w:i/>
          <w:sz w:val="26"/>
        </w:rPr>
        <w:t>Komplexitätsanalyse (SonarQube) &amp; Entscheidungsüberdeckung</w:t>
      </w:r>
    </w:p>
    <w:p>
      <w:pPr>
        <w:jc w:val="center"/>
      </w:pPr>
      <w:r>
        <w:rPr>
          <w:sz w:val="22"/>
        </w:rPr>
        <w:t>Projekt: Prekaj-Zeiterfassung (Backend, Go)</w:t>
        <w:br/>
        <w:t>Gruppengröße: 1 (Einzelabgabe)</w:t>
        <w:br/>
        <w:t>Geöffnet: 08.06.2026 · Fällig: 13.06.2026 23:59 · Erstellt: 13.06.2026</w:t>
      </w:r>
    </w:p>
    <w:p/>
    <w:p>
      <w:pPr>
        <w:pStyle w:val="Heading1"/>
      </w:pPr>
      <w:r>
        <w:rPr>
          <w:color w:val="1F4E79"/>
        </w:rPr>
        <w:t>1. Aufgabenstellung</w:t>
      </w:r>
    </w:p>
    <w:p>
      <w:r>
        <w:rPr>
          <w:b w:val="0"/>
          <w:i/>
        </w:rPr>
        <w:t>Verwenden Sie ein gängiges Codequality-Werkzeug, führen Sie eine Komplexitätsanalyse Ihres bestehenden Codes durch und erstellen Sie anschließend je Mitglied Ihrer Gruppe ein Set Testfälle für eine der als komplex ermittelten Komponenten. Ziel für den Testumfang ist die Entscheidungsüberdeckung (= Zweigüberdeckung). Führen Sie die Testfälle durch. Format: Export der Unittests in Textformat inkl. Durchführungsbericht und Code-Quality-Bericht (Screenshot oder Werkzeugexport).</w:t>
      </w:r>
    </w:p>
    <w:p>
      <w:r>
        <w:rPr>
          <w:b w:val="0"/>
          <w:i w:val="0"/>
        </w:rPr>
        <w:t>Da bereits Code vorhanden ist (Phasen 1–7 des Backends), wurde die Hauptvariante umgesetzt: Komplexitätsanalyse des bestehenden Codes, danach Testfälle für eine als komplex ermittelte Komponente.</w:t>
      </w:r>
    </w:p>
    <w:p>
      <w:pPr>
        <w:pStyle w:val="Heading1"/>
      </w:pPr>
      <w:r>
        <w:rPr>
          <w:color w:val="1F4E79"/>
        </w:rPr>
        <w:t>2. Testplanung und Werkzeugauswahl</w:t>
      </w:r>
    </w:p>
    <w:p>
      <w:r>
        <w:rPr>
          <w:b w:val="0"/>
          <w:i w:val="0"/>
        </w:rPr>
        <w:t>Für die Codequality-Analyse wurde SonarQube als gängiges Standardwerkzeug gewählt; für die Unittests die in Go eingebaute Testinfrastruktur. Die Werkzeugauswahl im Überblick:</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
              <w:rPr>
                <w:b/>
                <w:sz w:val="20"/>
              </w:rPr>
              <w:t>Zweck</w:t>
            </w:r>
          </w:p>
        </w:tc>
        <w:tc>
          <w:tcPr>
            <w:tcW w:type="dxa" w:w="2880"/>
          </w:tcPr>
          <w:p>
            <w:r/>
            <w:r>
              <w:rPr>
                <w:b/>
                <w:sz w:val="20"/>
              </w:rPr>
              <w:t>Werkzeug</w:t>
            </w:r>
          </w:p>
        </w:tc>
        <w:tc>
          <w:tcPr>
            <w:tcW w:type="dxa" w:w="3744"/>
          </w:tcPr>
          <w:p>
            <w:r/>
            <w:r>
              <w:rPr>
                <w:b/>
                <w:sz w:val="20"/>
              </w:rPr>
              <w:t>Begründung</w:t>
            </w:r>
          </w:p>
        </w:tc>
      </w:tr>
      <w:tr>
        <w:tc>
          <w:tcPr>
            <w:tcW w:type="dxa" w:w="2880"/>
          </w:tcPr>
          <w:p>
            <w:r/>
            <w:r>
              <w:rPr>
                <w:sz w:val="19"/>
              </w:rPr>
              <w:t>Code-Quality &amp; Komplexität (zyklomatisch + kognitiv), Coverage-Anzeige</w:t>
            </w:r>
          </w:p>
        </w:tc>
        <w:tc>
          <w:tcPr>
            <w:tcW w:type="dxa" w:w="2880"/>
          </w:tcPr>
          <w:p>
            <w:r/>
            <w:r>
              <w:rPr>
                <w:sz w:val="19"/>
              </w:rPr>
              <w:t>SonarQube Community 26.6 (lokal in Docker)</w:t>
            </w:r>
          </w:p>
        </w:tc>
        <w:tc>
          <w:tcPr>
            <w:tcW w:type="dxa" w:w="3744"/>
          </w:tcPr>
          <w:p>
            <w:r/>
            <w:r>
              <w:rPr>
                <w:sz w:val="19"/>
              </w:rPr>
              <w:t>Gängiges Standardwerkzeug; eingebaute Go-Unterstützung; misst Complexity je Funktion/Datei; importiert Go-Coverage.</w:t>
            </w:r>
          </w:p>
        </w:tc>
      </w:tr>
      <w:tr>
        <w:tc>
          <w:tcPr>
            <w:tcW w:type="dxa" w:w="2880"/>
          </w:tcPr>
          <w:p>
            <w:r/>
            <w:r>
              <w:rPr>
                <w:sz w:val="19"/>
              </w:rPr>
              <w:t>Unittests</w:t>
            </w:r>
          </w:p>
        </w:tc>
        <w:tc>
          <w:tcPr>
            <w:tcW w:type="dxa" w:w="2880"/>
          </w:tcPr>
          <w:p>
            <w:r/>
            <w:r>
              <w:rPr>
                <w:sz w:val="19"/>
              </w:rPr>
              <w:t>Go-Standard 'testing' (table-driven)</w:t>
            </w:r>
          </w:p>
        </w:tc>
        <w:tc>
          <w:tcPr>
            <w:tcW w:type="dxa" w:w="3744"/>
          </w:tcPr>
          <w:p>
            <w:r/>
            <w:r>
              <w:rPr>
                <w:sz w:val="19"/>
              </w:rPr>
              <w:t>Nativer Teststandard des Backends; kann unexportierte Funktionen testen (White-Box); keine Zusatzabhängigkeit.</w:t>
            </w:r>
          </w:p>
        </w:tc>
      </w:tr>
      <w:tr>
        <w:tc>
          <w:tcPr>
            <w:tcW w:type="dxa" w:w="2880"/>
          </w:tcPr>
          <w:p>
            <w:r/>
            <w:r>
              <w:rPr>
                <w:sz w:val="19"/>
              </w:rPr>
              <w:t>Coverage-Messung</w:t>
            </w:r>
          </w:p>
        </w:tc>
        <w:tc>
          <w:tcPr>
            <w:tcW w:type="dxa" w:w="2880"/>
          </w:tcPr>
          <w:p>
            <w:r/>
            <w:r>
              <w:rPr>
                <w:sz w:val="19"/>
              </w:rPr>
              <w:t>go test -cover / go tool cover</w:t>
            </w:r>
          </w:p>
        </w:tc>
        <w:tc>
          <w:tcPr>
            <w:tcW w:type="dxa" w:w="3744"/>
          </w:tcPr>
          <w:p>
            <w:r/>
            <w:r>
              <w:rPr>
                <w:sz w:val="19"/>
              </w:rPr>
              <w:t>Erzeugt Coverage-Profil (coverage.out) + HTML-Nachweis; Profil wird von SonarQube eingelesen.</w:t>
            </w:r>
          </w:p>
        </w:tc>
      </w:tr>
    </w:tbl>
    <w:p/>
    <w:p>
      <w:r>
        <w:rPr>
          <w:b w:val="0"/>
          <w:i w:val="0"/>
        </w:rPr>
        <w:t>Vorgehen zur Entscheidungsüberdeckung: Die zyklomatische Komplexität entspricht der Anzahl unabhängiger Pfade. Pro Funktion wurden daher mindestens so viele Testfälle entworfen, dass jede Entscheidung (if/Schleifenbedingung) mit beiden Ausgängen — true und false — durchlaufen wird. Der Nachweis erfolgt über die Testfall→Zweig-Matrix sowie den HTML-Coverage-Report (jeder Block grün).</w:t>
      </w:r>
    </w:p>
    <w:p>
      <w:pPr>
        <w:pStyle w:val="Heading1"/>
      </w:pPr>
      <w:r>
        <w:rPr>
          <w:color w:val="1F4E79"/>
        </w:rPr>
        <w:t>3. Komplexitätsanalyse mit SonarQube</w:t>
      </w:r>
    </w:p>
    <w:p>
      <w:r>
        <w:rPr>
          <w:b w:val="0"/>
          <w:i w:val="0"/>
        </w:rPr>
        <w:t>Das Backend (Go) enthält die gesamte Geschäftslogik und wurde mit dem sonar-scanner analysiert (Konfiguration: backend/sonar-project.properties; generierter sqlc-Code, Tests und HTML-Reports ausgeschlossen). Projekt-Kennzahlen:</w:t>
      </w:r>
    </w:p>
    <w:tbl>
      <w:tblPr>
        <w:tblStyle w:val="LightGrid-Accent1"/>
        <w:tblW w:type="auto" w:w="0"/>
        <w:jc w:val="center"/>
        <w:tblLook w:firstColumn="1" w:firstRow="1" w:lastColumn="0" w:lastRow="0" w:noHBand="0" w:noVBand="1" w:val="04A0"/>
      </w:tblPr>
      <w:tblGrid>
        <w:gridCol w:w="4320"/>
        <w:gridCol w:w="4320"/>
      </w:tblGrid>
      <w:tr>
        <w:tc>
          <w:tcPr>
            <w:tcW w:type="dxa" w:w="4608"/>
          </w:tcPr>
          <w:p>
            <w:r/>
            <w:r>
              <w:rPr>
                <w:b/>
                <w:sz w:val="20"/>
              </w:rPr>
              <w:t>Metrik</w:t>
            </w:r>
          </w:p>
        </w:tc>
        <w:tc>
          <w:tcPr>
            <w:tcW w:type="dxa" w:w="2160"/>
          </w:tcPr>
          <w:p>
            <w:r/>
            <w:r>
              <w:rPr>
                <w:b/>
                <w:sz w:val="20"/>
              </w:rPr>
              <w:t>Wert</w:t>
            </w:r>
          </w:p>
        </w:tc>
      </w:tr>
      <w:tr>
        <w:tc>
          <w:tcPr>
            <w:tcW w:type="dxa" w:w="4608"/>
          </w:tcPr>
          <w:p>
            <w:r/>
            <w:r>
              <w:rPr>
                <w:sz w:val="19"/>
              </w:rPr>
              <w:t>Lines of Code (Go)</w:t>
            </w:r>
          </w:p>
        </w:tc>
        <w:tc>
          <w:tcPr>
            <w:tcW w:type="dxa" w:w="2160"/>
          </w:tcPr>
          <w:p>
            <w:r/>
            <w:r>
              <w:rPr>
                <w:sz w:val="19"/>
              </w:rPr>
              <w:t>2.339</w:t>
            </w:r>
          </w:p>
        </w:tc>
      </w:tr>
      <w:tr>
        <w:tc>
          <w:tcPr>
            <w:tcW w:type="dxa" w:w="4608"/>
          </w:tcPr>
          <w:p>
            <w:r/>
            <w:r>
              <w:rPr>
                <w:sz w:val="19"/>
              </w:rPr>
              <w:t>Funktionen</w:t>
            </w:r>
          </w:p>
        </w:tc>
        <w:tc>
          <w:tcPr>
            <w:tcW w:type="dxa" w:w="2160"/>
          </w:tcPr>
          <w:p>
            <w:r/>
            <w:r>
              <w:rPr>
                <w:sz w:val="19"/>
              </w:rPr>
              <w:t>101</w:t>
            </w:r>
          </w:p>
        </w:tc>
      </w:tr>
      <w:tr>
        <w:tc>
          <w:tcPr>
            <w:tcW w:type="dxa" w:w="4608"/>
          </w:tcPr>
          <w:p>
            <w:r/>
            <w:r>
              <w:rPr>
                <w:sz w:val="19"/>
              </w:rPr>
              <w:t>Cyclomatic Complexity (gesamt)</w:t>
            </w:r>
          </w:p>
        </w:tc>
        <w:tc>
          <w:tcPr>
            <w:tcW w:type="dxa" w:w="2160"/>
          </w:tcPr>
          <w:p>
            <w:r/>
            <w:r>
              <w:rPr>
                <w:sz w:val="19"/>
              </w:rPr>
              <w:t>397</w:t>
            </w:r>
          </w:p>
        </w:tc>
      </w:tr>
      <w:tr>
        <w:tc>
          <w:tcPr>
            <w:tcW w:type="dxa" w:w="4608"/>
          </w:tcPr>
          <w:p>
            <w:r/>
            <w:r>
              <w:rPr>
                <w:sz w:val="19"/>
              </w:rPr>
              <w:t>Cognitive Complexity (gesamt)</w:t>
            </w:r>
          </w:p>
        </w:tc>
        <w:tc>
          <w:tcPr>
            <w:tcW w:type="dxa" w:w="2160"/>
          </w:tcPr>
          <w:p>
            <w:r/>
            <w:r>
              <w:rPr>
                <w:sz w:val="19"/>
              </w:rPr>
              <w:t>312</w:t>
            </w:r>
          </w:p>
        </w:tc>
      </w:tr>
      <w:tr>
        <w:tc>
          <w:tcPr>
            <w:tcW w:type="dxa" w:w="4608"/>
          </w:tcPr>
          <w:p>
            <w:r/>
            <w:r>
              <w:rPr>
                <w:sz w:val="19"/>
              </w:rPr>
              <w:t>Bugs</w:t>
            </w:r>
          </w:p>
        </w:tc>
        <w:tc>
          <w:tcPr>
            <w:tcW w:type="dxa" w:w="2160"/>
          </w:tcPr>
          <w:p>
            <w:r/>
            <w:r>
              <w:rPr>
                <w:sz w:val="19"/>
              </w:rPr>
              <w:t>0</w:t>
            </w:r>
          </w:p>
        </w:tc>
      </w:tr>
      <w:tr>
        <w:tc>
          <w:tcPr>
            <w:tcW w:type="dxa" w:w="4608"/>
          </w:tcPr>
          <w:p>
            <w:r/>
            <w:r>
              <w:rPr>
                <w:sz w:val="19"/>
              </w:rPr>
              <w:t>Vulnerabilities</w:t>
            </w:r>
          </w:p>
        </w:tc>
        <w:tc>
          <w:tcPr>
            <w:tcW w:type="dxa" w:w="2160"/>
          </w:tcPr>
          <w:p>
            <w:r/>
            <w:r>
              <w:rPr>
                <w:sz w:val="19"/>
              </w:rPr>
              <w:t>0</w:t>
            </w:r>
          </w:p>
        </w:tc>
      </w:tr>
      <w:tr>
        <w:tc>
          <w:tcPr>
            <w:tcW w:type="dxa" w:w="4608"/>
          </w:tcPr>
          <w:p>
            <w:r/>
            <w:r>
              <w:rPr>
                <w:sz w:val="19"/>
              </w:rPr>
              <w:t>Code Smells</w:t>
            </w:r>
          </w:p>
        </w:tc>
        <w:tc>
          <w:tcPr>
            <w:tcW w:type="dxa" w:w="2160"/>
          </w:tcPr>
          <w:p>
            <w:r/>
            <w:r>
              <w:rPr>
                <w:sz w:val="19"/>
              </w:rPr>
              <w:t>7</w:t>
            </w:r>
          </w:p>
        </w:tc>
      </w:tr>
      <w:tr>
        <w:tc>
          <w:tcPr>
            <w:tcW w:type="dxa" w:w="4608"/>
          </w:tcPr>
          <w:p>
            <w:r/>
            <w:r>
              <w:rPr>
                <w:sz w:val="19"/>
              </w:rPr>
              <w:t>Duplications</w:t>
            </w:r>
          </w:p>
        </w:tc>
        <w:tc>
          <w:tcPr>
            <w:tcW w:type="dxa" w:w="2160"/>
          </w:tcPr>
          <w:p>
            <w:r/>
            <w:r>
              <w:rPr>
                <w:sz w:val="19"/>
              </w:rPr>
              <w:t>0,0 %</w:t>
            </w:r>
          </w:p>
        </w:tc>
      </w:tr>
      <w:tr>
        <w:tc>
          <w:tcPr>
            <w:tcW w:type="dxa" w:w="4608"/>
          </w:tcPr>
          <w:p>
            <w:r/>
            <w:r>
              <w:rPr>
                <w:sz w:val="19"/>
              </w:rPr>
              <w:t>Coverage (gesamt)</w:t>
            </w:r>
          </w:p>
        </w:tc>
        <w:tc>
          <w:tcPr>
            <w:tcW w:type="dxa" w:w="2160"/>
          </w:tcPr>
          <w:p>
            <w:r/>
            <w:r>
              <w:rPr>
                <w:sz w:val="19"/>
              </w:rPr>
              <w:t>4,2 %</w:t>
            </w:r>
          </w:p>
        </w:tc>
      </w:tr>
    </w:tbl>
    <w:p/>
    <w:p>
      <w:pPr>
        <w:jc w:val="center"/>
      </w:pPr>
      <w:r>
        <w:drawing>
          <wp:inline xmlns:a="http://schemas.openxmlformats.org/drawingml/2006/main" xmlns:pic="http://schemas.openxmlformats.org/drawingml/2006/picture">
            <wp:extent cx="5760720" cy="3077407"/>
            <wp:docPr id="1" name="Picture 1"/>
            <wp:cNvGraphicFramePr>
              <a:graphicFrameLocks noChangeAspect="1"/>
            </wp:cNvGraphicFramePr>
            <a:graphic>
              <a:graphicData uri="http://schemas.openxmlformats.org/drawingml/2006/picture">
                <pic:pic>
                  <pic:nvPicPr>
                    <pic:cNvPr id="0" name="Overview.png"/>
                    <pic:cNvPicPr/>
                  </pic:nvPicPr>
                  <pic:blipFill>
                    <a:blip r:embed="rId9"/>
                    <a:stretch>
                      <a:fillRect/>
                    </a:stretch>
                  </pic:blipFill>
                  <pic:spPr>
                    <a:xfrm>
                      <a:off x="0" y="0"/>
                      <a:ext cx="5760720" cy="3077407"/>
                    </a:xfrm>
                    <a:prstGeom prst="rect"/>
                  </pic:spPr>
                </pic:pic>
              </a:graphicData>
            </a:graphic>
          </wp:inline>
        </w:drawing>
      </w:r>
    </w:p>
    <w:p>
      <w:pPr>
        <w:jc w:val="center"/>
      </w:pPr>
      <w:r>
        <w:rPr>
          <w:i/>
          <w:sz w:val="18"/>
        </w:rPr>
        <w:t>Abb. 1: SonarQube – Projekt-Overview (Quality Gate, Bugs, Smells, Coverage, Complexity).</w:t>
      </w:r>
    </w:p>
    <w:p/>
    <w:p>
      <w:r>
        <w:rPr>
          <w:b w:val="0"/>
          <w:i w:val="0"/>
        </w:rPr>
        <w:t>Ranking der Dateien nach Komplexität (SonarQube-Metriken complexity und cognitive_complexity je Datei):</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864"/>
          </w:tcPr>
          <w:p>
            <w:r/>
            <w:r>
              <w:rPr>
                <w:b/>
                <w:sz w:val="20"/>
              </w:rPr>
              <w:t>Rang</w:t>
            </w:r>
          </w:p>
        </w:tc>
        <w:tc>
          <w:tcPr>
            <w:tcW w:type="dxa" w:w="4896"/>
          </w:tcPr>
          <w:p>
            <w:r/>
            <w:r>
              <w:rPr>
                <w:b/>
                <w:sz w:val="20"/>
              </w:rPr>
              <w:t>Datei</w:t>
            </w:r>
          </w:p>
        </w:tc>
        <w:tc>
          <w:tcPr>
            <w:tcW w:type="dxa" w:w="1584"/>
          </w:tcPr>
          <w:p>
            <w:r/>
            <w:r>
              <w:rPr>
                <w:b/>
                <w:sz w:val="20"/>
              </w:rPr>
              <w:t>Cyclomatic</w:t>
            </w:r>
          </w:p>
        </w:tc>
        <w:tc>
          <w:tcPr>
            <w:tcW w:type="dxa" w:w="1584"/>
          </w:tcPr>
          <w:p>
            <w:r/>
            <w:r>
              <w:rPr>
                <w:b/>
                <w:sz w:val="20"/>
              </w:rPr>
              <w:t>Cognitive</w:t>
            </w:r>
          </w:p>
        </w:tc>
      </w:tr>
      <w:tr>
        <w:tc>
          <w:tcPr>
            <w:tcW w:type="dxa" w:w="864"/>
          </w:tcPr>
          <w:p>
            <w:r/>
            <w:r>
              <w:rPr>
                <w:sz w:val="19"/>
              </w:rPr>
              <w:t>1</w:t>
            </w:r>
          </w:p>
        </w:tc>
        <w:tc>
          <w:tcPr>
            <w:tcW w:type="dxa" w:w="4896"/>
          </w:tcPr>
          <w:p>
            <w:r/>
            <w:r>
              <w:rPr>
                <w:sz w:val="19"/>
              </w:rPr>
              <w:t>internal/server/zeitbuchung.go</w:t>
            </w:r>
          </w:p>
        </w:tc>
        <w:tc>
          <w:tcPr>
            <w:tcW w:type="dxa" w:w="1584"/>
          </w:tcPr>
          <w:p>
            <w:r/>
            <w:r>
              <w:rPr>
                <w:sz w:val="19"/>
              </w:rPr>
              <w:t>61</w:t>
            </w:r>
          </w:p>
        </w:tc>
        <w:tc>
          <w:tcPr>
            <w:tcW w:type="dxa" w:w="1584"/>
          </w:tcPr>
          <w:p>
            <w:r/>
            <w:r>
              <w:rPr>
                <w:sz w:val="19"/>
              </w:rPr>
              <w:t>52</w:t>
            </w:r>
          </w:p>
        </w:tc>
      </w:tr>
      <w:tr>
        <w:tc>
          <w:tcPr>
            <w:tcW w:type="dxa" w:w="864"/>
          </w:tcPr>
          <w:p>
            <w:r/>
            <w:r>
              <w:rPr>
                <w:sz w:val="19"/>
              </w:rPr>
              <w:t>2</w:t>
            </w:r>
          </w:p>
        </w:tc>
        <w:tc>
          <w:tcPr>
            <w:tcW w:type="dxa" w:w="4896"/>
          </w:tcPr>
          <w:p>
            <w:r/>
            <w:r>
              <w:rPr>
                <w:sz w:val="19"/>
              </w:rPr>
              <w:t>internal/server/ueberstunden.go  (gewählt)</w:t>
            </w:r>
          </w:p>
        </w:tc>
        <w:tc>
          <w:tcPr>
            <w:tcW w:type="dxa" w:w="1584"/>
          </w:tcPr>
          <w:p>
            <w:r/>
            <w:r>
              <w:rPr>
                <w:sz w:val="19"/>
              </w:rPr>
              <w:t>44</w:t>
            </w:r>
          </w:p>
        </w:tc>
        <w:tc>
          <w:tcPr>
            <w:tcW w:type="dxa" w:w="1584"/>
          </w:tcPr>
          <w:p>
            <w:r/>
            <w:r>
              <w:rPr>
                <w:sz w:val="19"/>
              </w:rPr>
              <w:t>43</w:t>
            </w:r>
          </w:p>
        </w:tc>
      </w:tr>
      <w:tr>
        <w:tc>
          <w:tcPr>
            <w:tcW w:type="dxa" w:w="864"/>
          </w:tcPr>
          <w:p>
            <w:r/>
            <w:r>
              <w:rPr>
                <w:sz w:val="19"/>
              </w:rPr>
              <w:t>3</w:t>
            </w:r>
          </w:p>
        </w:tc>
        <w:tc>
          <w:tcPr>
            <w:tcW w:type="dxa" w:w="4896"/>
          </w:tcPr>
          <w:p>
            <w:r/>
            <w:r>
              <w:rPr>
                <w:sz w:val="19"/>
              </w:rPr>
              <w:t>internal/server/urlaubsantrag.go</w:t>
            </w:r>
          </w:p>
        </w:tc>
        <w:tc>
          <w:tcPr>
            <w:tcW w:type="dxa" w:w="1584"/>
          </w:tcPr>
          <w:p>
            <w:r/>
            <w:r>
              <w:rPr>
                <w:sz w:val="19"/>
              </w:rPr>
              <w:t>40</w:t>
            </w:r>
          </w:p>
        </w:tc>
        <w:tc>
          <w:tcPr>
            <w:tcW w:type="dxa" w:w="1584"/>
          </w:tcPr>
          <w:p>
            <w:r/>
            <w:r>
              <w:rPr>
                <w:sz w:val="19"/>
              </w:rPr>
              <w:t>35</w:t>
            </w:r>
          </w:p>
        </w:tc>
      </w:tr>
      <w:tr>
        <w:tc>
          <w:tcPr>
            <w:tcW w:type="dxa" w:w="864"/>
          </w:tcPr>
          <w:p>
            <w:r/>
            <w:r>
              <w:rPr>
                <w:sz w:val="19"/>
              </w:rPr>
              <w:t>4</w:t>
            </w:r>
          </w:p>
        </w:tc>
        <w:tc>
          <w:tcPr>
            <w:tcW w:type="dxa" w:w="4896"/>
          </w:tcPr>
          <w:p>
            <w:r/>
            <w:r>
              <w:rPr>
                <w:sz w:val="19"/>
              </w:rPr>
              <w:t>internal/server/dokument.go</w:t>
            </w:r>
          </w:p>
        </w:tc>
        <w:tc>
          <w:tcPr>
            <w:tcW w:type="dxa" w:w="1584"/>
          </w:tcPr>
          <w:p>
            <w:r/>
            <w:r>
              <w:rPr>
                <w:sz w:val="19"/>
              </w:rPr>
              <w:t>38</w:t>
            </w:r>
          </w:p>
        </w:tc>
        <w:tc>
          <w:tcPr>
            <w:tcW w:type="dxa" w:w="1584"/>
          </w:tcPr>
          <w:p>
            <w:r/>
            <w:r>
              <w:rPr>
                <w:sz w:val="19"/>
              </w:rPr>
              <w:t>31</w:t>
            </w:r>
          </w:p>
        </w:tc>
      </w:tr>
      <w:tr>
        <w:tc>
          <w:tcPr>
            <w:tcW w:type="dxa" w:w="864"/>
          </w:tcPr>
          <w:p>
            <w:r/>
            <w:r>
              <w:rPr>
                <w:sz w:val="19"/>
              </w:rPr>
              <w:t>5</w:t>
            </w:r>
          </w:p>
        </w:tc>
        <w:tc>
          <w:tcPr>
            <w:tcW w:type="dxa" w:w="4896"/>
          </w:tcPr>
          <w:p>
            <w:r/>
            <w:r>
              <w:rPr>
                <w:sz w:val="19"/>
              </w:rPr>
              <w:t>internal/server/arbeiter.go</w:t>
            </w:r>
          </w:p>
        </w:tc>
        <w:tc>
          <w:tcPr>
            <w:tcW w:type="dxa" w:w="1584"/>
          </w:tcPr>
          <w:p>
            <w:r/>
            <w:r>
              <w:rPr>
                <w:sz w:val="19"/>
              </w:rPr>
              <w:t>29</w:t>
            </w:r>
          </w:p>
        </w:tc>
        <w:tc>
          <w:tcPr>
            <w:tcW w:type="dxa" w:w="1584"/>
          </w:tcPr>
          <w:p>
            <w:r/>
            <w:r>
              <w:rPr>
                <w:sz w:val="19"/>
              </w:rPr>
              <w:t>24</w:t>
            </w:r>
          </w:p>
        </w:tc>
      </w:tr>
      <w:tr>
        <w:tc>
          <w:tcPr>
            <w:tcW w:type="dxa" w:w="864"/>
          </w:tcPr>
          <w:p>
            <w:r/>
            <w:r>
              <w:rPr>
                <w:sz w:val="19"/>
              </w:rPr>
              <w:t>5</w:t>
            </w:r>
          </w:p>
        </w:tc>
        <w:tc>
          <w:tcPr>
            <w:tcW w:type="dxa" w:w="4896"/>
          </w:tcPr>
          <w:p>
            <w:r/>
            <w:r>
              <w:rPr>
                <w:sz w:val="19"/>
              </w:rPr>
              <w:t>internal/server/auth.go</w:t>
            </w:r>
          </w:p>
        </w:tc>
        <w:tc>
          <w:tcPr>
            <w:tcW w:type="dxa" w:w="1584"/>
          </w:tcPr>
          <w:p>
            <w:r/>
            <w:r>
              <w:rPr>
                <w:sz w:val="19"/>
              </w:rPr>
              <w:t>29</w:t>
            </w:r>
          </w:p>
        </w:tc>
        <w:tc>
          <w:tcPr>
            <w:tcW w:type="dxa" w:w="1584"/>
          </w:tcPr>
          <w:p>
            <w:r/>
            <w:r>
              <w:rPr>
                <w:sz w:val="19"/>
              </w:rPr>
              <w:t>24</w:t>
            </w:r>
          </w:p>
        </w:tc>
      </w:tr>
      <w:tr>
        <w:tc>
          <w:tcPr>
            <w:tcW w:type="dxa" w:w="864"/>
          </w:tcPr>
          <w:p>
            <w:r/>
            <w:r>
              <w:rPr>
                <w:sz w:val="19"/>
              </w:rPr>
              <w:t>7</w:t>
            </w:r>
          </w:p>
        </w:tc>
        <w:tc>
          <w:tcPr>
            <w:tcW w:type="dxa" w:w="4896"/>
          </w:tcPr>
          <w:p>
            <w:r/>
            <w:r>
              <w:rPr>
                <w:sz w:val="19"/>
              </w:rPr>
              <w:t>internal/server/bericht.go</w:t>
            </w:r>
          </w:p>
        </w:tc>
        <w:tc>
          <w:tcPr>
            <w:tcW w:type="dxa" w:w="1584"/>
          </w:tcPr>
          <w:p>
            <w:r/>
            <w:r>
              <w:rPr>
                <w:sz w:val="19"/>
              </w:rPr>
              <w:t>18</w:t>
            </w:r>
          </w:p>
        </w:tc>
        <w:tc>
          <w:tcPr>
            <w:tcW w:type="dxa" w:w="1584"/>
          </w:tcPr>
          <w:p>
            <w:r/>
            <w:r>
              <w:rPr>
                <w:sz w:val="19"/>
              </w:rPr>
              <w:t>20</w:t>
            </w:r>
          </w:p>
        </w:tc>
      </w:tr>
      <w:tr>
        <w:tc>
          <w:tcPr>
            <w:tcW w:type="dxa" w:w="864"/>
          </w:tcPr>
          <w:p>
            <w:r/>
            <w:r>
              <w:rPr>
                <w:sz w:val="19"/>
              </w:rPr>
              <w:t>8</w:t>
            </w:r>
          </w:p>
        </w:tc>
        <w:tc>
          <w:tcPr>
            <w:tcW w:type="dxa" w:w="4896"/>
          </w:tcPr>
          <w:p>
            <w:r/>
            <w:r>
              <w:rPr>
                <w:sz w:val="19"/>
              </w:rPr>
              <w:t>internal/pdf/monatsbericht.go</w:t>
            </w:r>
          </w:p>
        </w:tc>
        <w:tc>
          <w:tcPr>
            <w:tcW w:type="dxa" w:w="1584"/>
          </w:tcPr>
          <w:p>
            <w:r/>
            <w:r>
              <w:rPr>
                <w:sz w:val="19"/>
              </w:rPr>
              <w:t>8</w:t>
            </w:r>
          </w:p>
        </w:tc>
        <w:tc>
          <w:tcPr>
            <w:tcW w:type="dxa" w:w="1584"/>
          </w:tcPr>
          <w:p>
            <w:r/>
            <w:r>
              <w:rPr>
                <w:sz w:val="19"/>
              </w:rPr>
              <w:t>5</w:t>
            </w:r>
          </w:p>
        </w:tc>
      </w:tr>
      <w:tr>
        <w:tc>
          <w:tcPr>
            <w:tcW w:type="dxa" w:w="864"/>
          </w:tcPr>
          <w:p>
            <w:r/>
            <w:r>
              <w:rPr>
                <w:sz w:val="19"/>
              </w:rPr>
              <w:t>9</w:t>
            </w:r>
          </w:p>
        </w:tc>
        <w:tc>
          <w:tcPr>
            <w:tcW w:type="dxa" w:w="4896"/>
          </w:tcPr>
          <w:p>
            <w:r/>
            <w:r>
              <w:rPr>
                <w:sz w:val="19"/>
              </w:rPr>
              <w:t>internal/auth/jwt.go</w:t>
            </w:r>
          </w:p>
        </w:tc>
        <w:tc>
          <w:tcPr>
            <w:tcW w:type="dxa" w:w="1584"/>
          </w:tcPr>
          <w:p>
            <w:r/>
            <w:r>
              <w:rPr>
                <w:sz w:val="19"/>
              </w:rPr>
              <w:t>7</w:t>
            </w:r>
          </w:p>
        </w:tc>
        <w:tc>
          <w:tcPr>
            <w:tcW w:type="dxa" w:w="1584"/>
          </w:tcPr>
          <w:p>
            <w:r/>
            <w:r>
              <w:rPr>
                <w:sz w:val="19"/>
              </w:rPr>
              <w:t>5</w:t>
            </w:r>
          </w:p>
        </w:tc>
      </w:tr>
    </w:tbl>
    <w:p/>
    <w:p>
      <w:pPr>
        <w:jc w:val="center"/>
      </w:pPr>
      <w:r>
        <w:drawing>
          <wp:inline xmlns:a="http://schemas.openxmlformats.org/drawingml/2006/main" xmlns:pic="http://schemas.openxmlformats.org/drawingml/2006/picture">
            <wp:extent cx="5760720" cy="3164956"/>
            <wp:docPr id="2" name="Picture 2"/>
            <wp:cNvGraphicFramePr>
              <a:graphicFrameLocks noChangeAspect="1"/>
            </wp:cNvGraphicFramePr>
            <a:graphic>
              <a:graphicData uri="http://schemas.openxmlformats.org/drawingml/2006/picture">
                <pic:pic>
                  <pic:nvPicPr>
                    <pic:cNvPr id="0" name="Measures.png"/>
                    <pic:cNvPicPr/>
                  </pic:nvPicPr>
                  <pic:blipFill>
                    <a:blip r:embed="rId10"/>
                    <a:stretch>
                      <a:fillRect/>
                    </a:stretch>
                  </pic:blipFill>
                  <pic:spPr>
                    <a:xfrm>
                      <a:off x="0" y="0"/>
                      <a:ext cx="5760720" cy="3164956"/>
                    </a:xfrm>
                    <a:prstGeom prst="rect"/>
                  </pic:spPr>
                </pic:pic>
              </a:graphicData>
            </a:graphic>
          </wp:inline>
        </w:drawing>
      </w:r>
    </w:p>
    <w:p>
      <w:pPr>
        <w:jc w:val="center"/>
      </w:pPr>
      <w:r>
        <w:rPr>
          <w:i/>
          <w:sz w:val="18"/>
        </w:rPr>
        <w:t>Abb. 2: SonarQube – Measures/Complexity je Datei.</w:t>
      </w:r>
    </w:p>
    <w:p>
      <w:pPr>
        <w:pStyle w:val="Heading1"/>
      </w:pPr>
      <w:r>
        <w:rPr>
          <w:color w:val="1F4E79"/>
        </w:rPr>
        <w:t>4. Auswahl der komplexen Komponente</w:t>
      </w:r>
    </w:p>
    <w:p>
      <w:r>
        <w:rPr>
          <w:b w:val="0"/>
          <w:i w:val="0"/>
        </w:rPr>
        <w:t>Gewählt wurde die Komponente Überstunden-Berechnung (backend/internal/server/ueberstunden.go) — Rang 2 der Komplexität. Die komplexeste Datei zeitbuchung.go (Rang 1) konzentriert ihre Komplexität in datenbankgebundenen HTTP-Handlern, deren Test ein DB-Mocking/Interface-Refactoring erfordern würde. ueberstunden.go enthält dagegen die komplexeste rein funktionale Logik (Datumsarithmetik, Überlappungs-Deduplizierung, umfangreiche Eingabevalidierung) und ist damit ohne Datenbank vollständig unit-testbar — ideal für einen sauberen Nachweis der Entscheidungsüberdeckung.</w:t>
      </w:r>
    </w:p>
    <w:p>
      <w:r>
        <w:rPr>
          <w:b w:val="0"/>
          <w:i w:val="0"/>
        </w:rPr>
        <w:t>Getestete reine Funktionen (kein DB-Zugriff):</w:t>
      </w:r>
    </w:p>
    <w:tbl>
      <w:tblPr>
        <w:tblStyle w:val="LightGrid-Accent1"/>
        <w:tblW w:type="auto" w:w="0"/>
        <w:jc w:val="center"/>
        <w:tblLook w:firstColumn="1" w:firstRow="1" w:lastColumn="0" w:lastRow="0" w:noHBand="0" w:noVBand="1" w:val="04A0"/>
      </w:tblPr>
      <w:tblGrid>
        <w:gridCol w:w="2880"/>
        <w:gridCol w:w="2880"/>
        <w:gridCol w:w="2880"/>
      </w:tblGrid>
      <w:tr>
        <w:tc>
          <w:tcPr>
            <w:tcW w:type="dxa" w:w="2736"/>
          </w:tcPr>
          <w:p>
            <w:r/>
            <w:r>
              <w:rPr>
                <w:b/>
                <w:sz w:val="20"/>
              </w:rPr>
              <w:t>Funktion</w:t>
            </w:r>
          </w:p>
        </w:tc>
        <w:tc>
          <w:tcPr>
            <w:tcW w:type="dxa" w:w="3024"/>
          </w:tcPr>
          <w:p>
            <w:r/>
            <w:r>
              <w:rPr>
                <w:b/>
                <w:sz w:val="20"/>
              </w:rPr>
              <w:t>Zyklomat. Komplexität (ca.)</w:t>
            </w:r>
          </w:p>
        </w:tc>
        <w:tc>
          <w:tcPr>
            <w:tcW w:type="dxa" w:w="3744"/>
          </w:tcPr>
          <w:p>
            <w:r/>
            <w:r>
              <w:rPr>
                <w:b/>
                <w:sz w:val="20"/>
              </w:rPr>
              <w:t>Aufgabe</w:t>
            </w:r>
          </w:p>
        </w:tc>
      </w:tr>
      <w:tr>
        <w:tc>
          <w:tcPr>
            <w:tcW w:type="dxa" w:w="2736"/>
          </w:tcPr>
          <w:p>
            <w:r/>
            <w:r>
              <w:rPr>
                <w:sz w:val="19"/>
              </w:rPr>
              <w:t>parseMonat</w:t>
            </w:r>
          </w:p>
        </w:tc>
        <w:tc>
          <w:tcPr>
            <w:tcW w:type="dxa" w:w="3024"/>
          </w:tcPr>
          <w:p>
            <w:r/>
            <w:r>
              <w:rPr>
                <w:sz w:val="19"/>
              </w:rPr>
              <w:t>hoch (~8–10)</w:t>
            </w:r>
          </w:p>
        </w:tc>
        <w:tc>
          <w:tcPr>
            <w:tcW w:type="dxa" w:w="3744"/>
          </w:tcPr>
          <w:p>
            <w:r/>
            <w:r>
              <w:rPr>
                <w:sz w:val="19"/>
              </w:rPr>
              <w:t>Query-Parameter jahr/monat validieren</w:t>
            </w:r>
          </w:p>
        </w:tc>
      </w:tr>
      <w:tr>
        <w:tc>
          <w:tcPr>
            <w:tcW w:type="dxa" w:w="2736"/>
          </w:tcPr>
          <w:p>
            <w:r/>
            <w:r>
              <w:rPr>
                <w:sz w:val="19"/>
              </w:rPr>
              <w:t>creditedWorkdays</w:t>
            </w:r>
          </w:p>
        </w:tc>
        <w:tc>
          <w:tcPr>
            <w:tcW w:type="dxa" w:w="3024"/>
          </w:tcPr>
          <w:p>
            <w:r/>
            <w:r>
              <w:rPr>
                <w:sz w:val="19"/>
              </w:rPr>
              <w:t>~5</w:t>
            </w:r>
          </w:p>
        </w:tc>
        <w:tc>
          <w:tcPr>
            <w:tcW w:type="dxa" w:w="3744"/>
          </w:tcPr>
          <w:p>
            <w:r/>
            <w:r>
              <w:rPr>
                <w:sz w:val="19"/>
              </w:rPr>
              <w:t>gutgeschriebene Werktage aus Abwesenheiten</w:t>
            </w:r>
          </w:p>
        </w:tc>
      </w:tr>
      <w:tr>
        <w:tc>
          <w:tcPr>
            <w:tcW w:type="dxa" w:w="2736"/>
          </w:tcPr>
          <w:p>
            <w:r/>
            <w:r>
              <w:rPr>
                <w:sz w:val="19"/>
              </w:rPr>
              <w:t>countWeekdays</w:t>
            </w:r>
          </w:p>
        </w:tc>
        <w:tc>
          <w:tcPr>
            <w:tcW w:type="dxa" w:w="3024"/>
          </w:tcPr>
          <w:p>
            <w:r/>
            <w:r>
              <w:rPr>
                <w:sz w:val="19"/>
              </w:rPr>
              <w:t>~3</w:t>
            </w:r>
          </w:p>
        </w:tc>
        <w:tc>
          <w:tcPr>
            <w:tcW w:type="dxa" w:w="3744"/>
          </w:tcPr>
          <w:p>
            <w:r/>
            <w:r>
              <w:rPr>
                <w:sz w:val="19"/>
              </w:rPr>
              <w:t>Werktage (Mo–Fr) im Monat zählen</w:t>
            </w:r>
          </w:p>
        </w:tc>
      </w:tr>
      <w:tr>
        <w:tc>
          <w:tcPr>
            <w:tcW w:type="dxa" w:w="2736"/>
          </w:tcPr>
          <w:p>
            <w:r/>
            <w:r>
              <w:rPr>
                <w:sz w:val="19"/>
              </w:rPr>
              <w:t>sollMinuten</w:t>
            </w:r>
          </w:p>
        </w:tc>
        <w:tc>
          <w:tcPr>
            <w:tcW w:type="dxa" w:w="3024"/>
          </w:tcPr>
          <w:p>
            <w:r/>
            <w:r>
              <w:rPr>
                <w:sz w:val="19"/>
              </w:rPr>
              <w:t>~2</w:t>
            </w:r>
          </w:p>
        </w:tc>
        <w:tc>
          <w:tcPr>
            <w:tcW w:type="dxa" w:w="3744"/>
          </w:tcPr>
          <w:p>
            <w:r/>
            <w:r>
              <w:rPr>
                <w:sz w:val="19"/>
              </w:rPr>
              <w:t>Soll-Minuten aus Wochenstunden</w:t>
            </w:r>
          </w:p>
        </w:tc>
      </w:tr>
      <w:tr>
        <w:tc>
          <w:tcPr>
            <w:tcW w:type="dxa" w:w="2736"/>
          </w:tcPr>
          <w:p>
            <w:r/>
            <w:r>
              <w:rPr>
                <w:sz w:val="19"/>
              </w:rPr>
              <w:t>computeUeberstunden</w:t>
            </w:r>
          </w:p>
        </w:tc>
        <w:tc>
          <w:tcPr>
            <w:tcW w:type="dxa" w:w="3024"/>
          </w:tcPr>
          <w:p>
            <w:r/>
            <w:r>
              <w:rPr>
                <w:sz w:val="19"/>
              </w:rPr>
              <w:t>~2</w:t>
            </w:r>
          </w:p>
        </w:tc>
        <w:tc>
          <w:tcPr>
            <w:tcW w:type="dxa" w:w="3744"/>
          </w:tcPr>
          <w:p>
            <w:r/>
            <w:r>
              <w:rPr>
                <w:sz w:val="19"/>
              </w:rPr>
              <w:t>Saldo = Ist − Soll zusammensetzen</w:t>
            </w:r>
          </w:p>
        </w:tc>
      </w:tr>
      <w:tr>
        <w:tc>
          <w:tcPr>
            <w:tcW w:type="dxa" w:w="2736"/>
          </w:tcPr>
          <w:p>
            <w:r/>
            <w:r>
              <w:rPr>
                <w:sz w:val="19"/>
              </w:rPr>
              <w:t>monthBounds</w:t>
            </w:r>
          </w:p>
        </w:tc>
        <w:tc>
          <w:tcPr>
            <w:tcW w:type="dxa" w:w="3024"/>
          </w:tcPr>
          <w:p>
            <w:r/>
            <w:r>
              <w:rPr>
                <w:sz w:val="19"/>
              </w:rPr>
              <w:t>1</w:t>
            </w:r>
          </w:p>
        </w:tc>
        <w:tc>
          <w:tcPr>
            <w:tcW w:type="dxa" w:w="3744"/>
          </w:tcPr>
          <w:p>
            <w:r/>
            <w:r>
              <w:rPr>
                <w:sz w:val="19"/>
              </w:rPr>
              <w:t>Monatsgrenzen [start, end)</w:t>
            </w:r>
          </w:p>
        </w:tc>
      </w:tr>
    </w:tbl>
    <w:p>
      <w:pPr>
        <w:pStyle w:val="Heading1"/>
      </w:pPr>
      <w:r>
        <w:rPr>
          <w:color w:val="1F4E79"/>
        </w:rPr>
        <w:t>5. Testfälle (Ziel: Entscheidungsüberdeckung)</w:t>
      </w:r>
    </w:p>
    <w:p>
      <w:r>
        <w:rPr>
          <w:b w:val="0"/>
          <w:i w:val="0"/>
        </w:rPr>
        <w:t>Umsetzung: backend/internal/server/ueberstunden_test.go (Go, table-driven, White-Box). Wochentags-Anker: 2023-01-01 = Sonntag, 2023-01-02 = Montag; Januar 2023 hat 22 Werktage; monthBounds(2023,1) = [2023-01-01, 2023-02-01). Insgesamt 24 Testfälle:</w:t>
      </w:r>
    </w:p>
    <w:p>
      <w:pPr>
        <w:pStyle w:val="Heading2"/>
      </w:pPr>
      <w:r>
        <w:rPr>
          <w:color w:val="1F4E79"/>
        </w:rPr>
        <w:t>5.1 monthBounds(jahr, monat)</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720"/>
          </w:tcPr>
          <w:p>
            <w:r/>
            <w:r>
              <w:rPr>
                <w:b/>
                <w:sz w:val="20"/>
              </w:rPr>
              <w:t>ID</w:t>
            </w:r>
          </w:p>
        </w:tc>
        <w:tc>
          <w:tcPr>
            <w:tcW w:type="dxa" w:w="2016"/>
          </w:tcPr>
          <w:p>
            <w:r/>
            <w:r>
              <w:rPr>
                <w:b/>
                <w:sz w:val="20"/>
              </w:rPr>
              <w:t>Eingabe</w:t>
            </w:r>
          </w:p>
        </w:tc>
        <w:tc>
          <w:tcPr>
            <w:tcW w:type="dxa" w:w="3024"/>
          </w:tcPr>
          <w:p>
            <w:r/>
            <w:r>
              <w:rPr>
                <w:b/>
                <w:sz w:val="20"/>
              </w:rPr>
              <w:t>Erwartet</w:t>
            </w:r>
          </w:p>
        </w:tc>
        <w:tc>
          <w:tcPr>
            <w:tcW w:type="dxa" w:w="3024"/>
          </w:tcPr>
          <w:p>
            <w:r/>
            <w:r>
              <w:rPr>
                <w:b/>
                <w:sz w:val="20"/>
              </w:rPr>
              <w:t>Abgedeckter Zweig</w:t>
            </w:r>
          </w:p>
        </w:tc>
      </w:tr>
      <w:tr>
        <w:tc>
          <w:tcPr>
            <w:tcW w:type="dxa" w:w="720"/>
          </w:tcPr>
          <w:p>
            <w:r/>
            <w:r>
              <w:rPr>
                <w:sz w:val="19"/>
              </w:rPr>
              <w:t>MB1</w:t>
            </w:r>
          </w:p>
        </w:tc>
        <w:tc>
          <w:tcPr>
            <w:tcW w:type="dxa" w:w="2016"/>
          </w:tcPr>
          <w:p>
            <w:r/>
            <w:r>
              <w:rPr>
                <w:sz w:val="19"/>
              </w:rPr>
              <w:t>2023, 1</w:t>
            </w:r>
          </w:p>
        </w:tc>
        <w:tc>
          <w:tcPr>
            <w:tcW w:type="dxa" w:w="3024"/>
          </w:tcPr>
          <w:p>
            <w:r/>
            <w:r>
              <w:rPr>
                <w:sz w:val="19"/>
              </w:rPr>
              <w:t>[2023-01-01, 2023-02-01)</w:t>
            </w:r>
          </w:p>
        </w:tc>
        <w:tc>
          <w:tcPr>
            <w:tcW w:type="dxa" w:w="3024"/>
          </w:tcPr>
          <w:p>
            <w:r/>
            <w:r>
              <w:rPr>
                <w:sz w:val="19"/>
              </w:rPr>
              <w:t>Normalfall</w:t>
            </w:r>
          </w:p>
        </w:tc>
      </w:tr>
      <w:tr>
        <w:tc>
          <w:tcPr>
            <w:tcW w:type="dxa" w:w="720"/>
          </w:tcPr>
          <w:p>
            <w:r/>
            <w:r>
              <w:rPr>
                <w:sz w:val="19"/>
              </w:rPr>
              <w:t>MB2</w:t>
            </w:r>
          </w:p>
        </w:tc>
        <w:tc>
          <w:tcPr>
            <w:tcW w:type="dxa" w:w="2016"/>
          </w:tcPr>
          <w:p>
            <w:r/>
            <w:r>
              <w:rPr>
                <w:sz w:val="19"/>
              </w:rPr>
              <w:t>2026, 12</w:t>
            </w:r>
          </w:p>
        </w:tc>
        <w:tc>
          <w:tcPr>
            <w:tcW w:type="dxa" w:w="3024"/>
          </w:tcPr>
          <w:p>
            <w:r/>
            <w:r>
              <w:rPr>
                <w:sz w:val="19"/>
              </w:rPr>
              <w:t>[2026-12-01, 2027-01-01)</w:t>
            </w:r>
          </w:p>
        </w:tc>
        <w:tc>
          <w:tcPr>
            <w:tcW w:type="dxa" w:w="3024"/>
          </w:tcPr>
          <w:p>
            <w:r/>
            <w:r>
              <w:rPr>
                <w:sz w:val="19"/>
              </w:rPr>
              <w:t>Jahreswechsel Dez→Jan</w:t>
            </w:r>
          </w:p>
        </w:tc>
      </w:tr>
    </w:tbl>
    <w:p>
      <w:pPr>
        <w:pStyle w:val="Heading2"/>
      </w:pPr>
      <w:r>
        <w:rPr>
          <w:color w:val="1F4E79"/>
        </w:rPr>
        <w:t>5.2 countWeekdays(start, end)</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720"/>
          </w:tcPr>
          <w:p>
            <w:r/>
            <w:r>
              <w:rPr>
                <w:b/>
                <w:sz w:val="20"/>
              </w:rPr>
              <w:t>ID</w:t>
            </w:r>
          </w:p>
        </w:tc>
        <w:tc>
          <w:tcPr>
            <w:tcW w:type="dxa" w:w="2448"/>
          </w:tcPr>
          <w:p>
            <w:r/>
            <w:r>
              <w:rPr>
                <w:b/>
                <w:sz w:val="20"/>
              </w:rPr>
              <w:t>Eingabe</w:t>
            </w:r>
          </w:p>
        </w:tc>
        <w:tc>
          <w:tcPr>
            <w:tcW w:type="dxa" w:w="1152"/>
          </w:tcPr>
          <w:p>
            <w:r/>
            <w:r>
              <w:rPr>
                <w:b/>
                <w:sz w:val="20"/>
              </w:rPr>
              <w:t>Erwartet</w:t>
            </w:r>
          </w:p>
        </w:tc>
        <w:tc>
          <w:tcPr>
            <w:tcW w:type="dxa" w:w="4464"/>
          </w:tcPr>
          <w:p>
            <w:r/>
            <w:r>
              <w:rPr>
                <w:b/>
                <w:sz w:val="20"/>
              </w:rPr>
              <w:t>Abgedeckter Zweig</w:t>
            </w:r>
          </w:p>
        </w:tc>
      </w:tr>
      <w:tr>
        <w:tc>
          <w:tcPr>
            <w:tcW w:type="dxa" w:w="720"/>
          </w:tcPr>
          <w:p>
            <w:r/>
            <w:r>
              <w:rPr>
                <w:sz w:val="19"/>
              </w:rPr>
              <w:t>CW1</w:t>
            </w:r>
          </w:p>
        </w:tc>
        <w:tc>
          <w:tcPr>
            <w:tcW w:type="dxa" w:w="2448"/>
          </w:tcPr>
          <w:p>
            <w:r/>
            <w:r>
              <w:rPr>
                <w:sz w:val="19"/>
              </w:rPr>
              <w:t>[01-01, 02-01)</w:t>
            </w:r>
          </w:p>
        </w:tc>
        <w:tc>
          <w:tcPr>
            <w:tcW w:type="dxa" w:w="1152"/>
          </w:tcPr>
          <w:p>
            <w:r/>
            <w:r>
              <w:rPr>
                <w:sz w:val="19"/>
              </w:rPr>
              <w:t>22</w:t>
            </w:r>
          </w:p>
        </w:tc>
        <w:tc>
          <w:tcPr>
            <w:tcW w:type="dxa" w:w="4464"/>
          </w:tcPr>
          <w:p>
            <w:r/>
            <w:r>
              <w:rPr>
                <w:sz w:val="19"/>
              </w:rPr>
              <w:t>Schleife über Monat, Werktage gezählt</w:t>
            </w:r>
          </w:p>
        </w:tc>
      </w:tr>
      <w:tr>
        <w:tc>
          <w:tcPr>
            <w:tcW w:type="dxa" w:w="720"/>
          </w:tcPr>
          <w:p>
            <w:r/>
            <w:r>
              <w:rPr>
                <w:sz w:val="19"/>
              </w:rPr>
              <w:t>CW2</w:t>
            </w:r>
          </w:p>
        </w:tc>
        <w:tc>
          <w:tcPr>
            <w:tcW w:type="dxa" w:w="2448"/>
          </w:tcPr>
          <w:p>
            <w:r/>
            <w:r>
              <w:rPr>
                <w:sz w:val="19"/>
              </w:rPr>
              <w:t>[Mo 01-02, Mo 01-09)</w:t>
            </w:r>
          </w:p>
        </w:tc>
        <w:tc>
          <w:tcPr>
            <w:tcW w:type="dxa" w:w="1152"/>
          </w:tcPr>
          <w:p>
            <w:r/>
            <w:r>
              <w:rPr>
                <w:sz w:val="19"/>
              </w:rPr>
              <w:t>5</w:t>
            </w:r>
          </w:p>
        </w:tc>
        <w:tc>
          <w:tcPr>
            <w:tcW w:type="dxa" w:w="4464"/>
          </w:tcPr>
          <w:p>
            <w:r/>
            <w:r>
              <w:rPr>
                <w:sz w:val="19"/>
              </w:rPr>
              <w:t>volle Woche</w:t>
            </w:r>
          </w:p>
        </w:tc>
      </w:tr>
      <w:tr>
        <w:tc>
          <w:tcPr>
            <w:tcW w:type="dxa" w:w="720"/>
          </w:tcPr>
          <w:p>
            <w:r/>
            <w:r>
              <w:rPr>
                <w:sz w:val="19"/>
              </w:rPr>
              <w:t>CW3</w:t>
            </w:r>
          </w:p>
        </w:tc>
        <w:tc>
          <w:tcPr>
            <w:tcW w:type="dxa" w:w="2448"/>
          </w:tcPr>
          <w:p>
            <w:r/>
            <w:r>
              <w:rPr>
                <w:sz w:val="19"/>
              </w:rPr>
              <w:t>[Sa 01-07, Mo 01-09)</w:t>
            </w:r>
          </w:p>
        </w:tc>
        <w:tc>
          <w:tcPr>
            <w:tcW w:type="dxa" w:w="1152"/>
          </w:tcPr>
          <w:p>
            <w:r/>
            <w:r>
              <w:rPr>
                <w:sz w:val="19"/>
              </w:rPr>
              <w:t>0</w:t>
            </w:r>
          </w:p>
        </w:tc>
        <w:tc>
          <w:tcPr>
            <w:tcW w:type="dxa" w:w="4464"/>
          </w:tcPr>
          <w:p>
            <w:r/>
            <w:r>
              <w:rPr>
                <w:sz w:val="19"/>
              </w:rPr>
              <w:t>Bedingung false → Wochenende übersprungen</w:t>
            </w:r>
          </w:p>
        </w:tc>
      </w:tr>
      <w:tr>
        <w:tc>
          <w:tcPr>
            <w:tcW w:type="dxa" w:w="720"/>
          </w:tcPr>
          <w:p>
            <w:r/>
            <w:r>
              <w:rPr>
                <w:sz w:val="19"/>
              </w:rPr>
              <w:t>CW4</w:t>
            </w:r>
          </w:p>
        </w:tc>
        <w:tc>
          <w:tcPr>
            <w:tcW w:type="dxa" w:w="2448"/>
          </w:tcPr>
          <w:p>
            <w:r/>
            <w:r>
              <w:rPr>
                <w:sz w:val="19"/>
              </w:rPr>
              <w:t>[01-02, 01-02)</w:t>
            </w:r>
          </w:p>
        </w:tc>
        <w:tc>
          <w:tcPr>
            <w:tcW w:type="dxa" w:w="1152"/>
          </w:tcPr>
          <w:p>
            <w:r/>
            <w:r>
              <w:rPr>
                <w:sz w:val="19"/>
              </w:rPr>
              <w:t>0</w:t>
            </w:r>
          </w:p>
        </w:tc>
        <w:tc>
          <w:tcPr>
            <w:tcW w:type="dxa" w:w="4464"/>
          </w:tcPr>
          <w:p>
            <w:r/>
            <w:r>
              <w:rPr>
                <w:sz w:val="19"/>
              </w:rPr>
              <w:t>Schleife 0× (start == end)</w:t>
            </w:r>
          </w:p>
        </w:tc>
      </w:tr>
      <w:tr>
        <w:tc>
          <w:tcPr>
            <w:tcW w:type="dxa" w:w="720"/>
          </w:tcPr>
          <w:p>
            <w:r/>
            <w:r>
              <w:rPr>
                <w:sz w:val="19"/>
              </w:rPr>
              <w:t>CW5</w:t>
            </w:r>
          </w:p>
        </w:tc>
        <w:tc>
          <w:tcPr>
            <w:tcW w:type="dxa" w:w="2448"/>
          </w:tcPr>
          <w:p>
            <w:r/>
            <w:r>
              <w:rPr>
                <w:sz w:val="19"/>
              </w:rPr>
              <w:t>[Mo 01-02, Di 01-03)</w:t>
            </w:r>
          </w:p>
        </w:tc>
        <w:tc>
          <w:tcPr>
            <w:tcW w:type="dxa" w:w="1152"/>
          </w:tcPr>
          <w:p>
            <w:r/>
            <w:r>
              <w:rPr>
                <w:sz w:val="19"/>
              </w:rPr>
              <w:t>1</w:t>
            </w:r>
          </w:p>
        </w:tc>
        <w:tc>
          <w:tcPr>
            <w:tcW w:type="dxa" w:w="4464"/>
          </w:tcPr>
          <w:p>
            <w:r/>
            <w:r>
              <w:rPr>
                <w:sz w:val="19"/>
              </w:rPr>
              <w:t>genau ein Werktag</w:t>
            </w:r>
          </w:p>
        </w:tc>
      </w:tr>
    </w:tbl>
    <w:p>
      <w:pPr>
        <w:pStyle w:val="Heading2"/>
      </w:pPr>
      <w:r>
        <w:rPr>
          <w:color w:val="1F4E79"/>
        </w:rPr>
        <w:t>5.3 creditedWorkdays(rows, start, end)</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720"/>
          </w:tcPr>
          <w:p>
            <w:r/>
            <w:r>
              <w:rPr>
                <w:b/>
                <w:sz w:val="20"/>
              </w:rPr>
              <w:t>ID</w:t>
            </w:r>
          </w:p>
        </w:tc>
        <w:tc>
          <w:tcPr>
            <w:tcW w:type="dxa" w:w="3312"/>
          </w:tcPr>
          <w:p>
            <w:r/>
            <w:r>
              <w:rPr>
                <w:b/>
                <w:sz w:val="20"/>
              </w:rPr>
              <w:t>Eingabe (rows)</w:t>
            </w:r>
          </w:p>
        </w:tc>
        <w:tc>
          <w:tcPr>
            <w:tcW w:type="dxa" w:w="720"/>
          </w:tcPr>
          <w:p>
            <w:r/>
            <w:r>
              <w:rPr>
                <w:b/>
                <w:sz w:val="20"/>
              </w:rPr>
              <w:t>Erw.</w:t>
            </w:r>
          </w:p>
        </w:tc>
        <w:tc>
          <w:tcPr>
            <w:tcW w:type="dxa" w:w="4032"/>
          </w:tcPr>
          <w:p>
            <w:r/>
            <w:r>
              <w:rPr>
                <w:b/>
                <w:sz w:val="20"/>
              </w:rPr>
              <w:t>Abgedeckter Zweig</w:t>
            </w:r>
          </w:p>
        </w:tc>
      </w:tr>
      <w:tr>
        <w:tc>
          <w:tcPr>
            <w:tcW w:type="dxa" w:w="720"/>
          </w:tcPr>
          <w:p>
            <w:r/>
            <w:r>
              <w:rPr>
                <w:sz w:val="19"/>
              </w:rPr>
              <w:t>CR1</w:t>
            </w:r>
          </w:p>
        </w:tc>
        <w:tc>
          <w:tcPr>
            <w:tcW w:type="dxa" w:w="3312"/>
          </w:tcPr>
          <w:p>
            <w:r/>
            <w:r>
              <w:rPr>
                <w:sz w:val="19"/>
              </w:rPr>
              <w:t>[Mo 01-02 … Fr 01-06]</w:t>
            </w:r>
          </w:p>
        </w:tc>
        <w:tc>
          <w:tcPr>
            <w:tcW w:type="dxa" w:w="720"/>
          </w:tcPr>
          <w:p>
            <w:r/>
            <w:r>
              <w:rPr>
                <w:sz w:val="19"/>
              </w:rPr>
              <w:t>5</w:t>
            </w:r>
          </w:p>
        </w:tc>
        <w:tc>
          <w:tcPr>
            <w:tcW w:type="dxa" w:w="4032"/>
          </w:tcPr>
          <w:p>
            <w:r/>
            <w:r>
              <w:rPr>
                <w:sz w:val="19"/>
              </w:rPr>
              <w:t>from&lt;start = false; Werktage gezählt</w:t>
            </w:r>
          </w:p>
        </w:tc>
      </w:tr>
      <w:tr>
        <w:tc>
          <w:tcPr>
            <w:tcW w:type="dxa" w:w="720"/>
          </w:tcPr>
          <w:p>
            <w:r/>
            <w:r>
              <w:rPr>
                <w:sz w:val="19"/>
              </w:rPr>
              <w:t>CR2</w:t>
            </w:r>
          </w:p>
        </w:tc>
        <w:tc>
          <w:tcPr>
            <w:tcW w:type="dxa" w:w="3312"/>
          </w:tcPr>
          <w:p>
            <w:r/>
            <w:r>
              <w:rPr>
                <w:sz w:val="19"/>
              </w:rPr>
              <w:t>[2022-12-28 … Di 01-03]</w:t>
            </w:r>
          </w:p>
        </w:tc>
        <w:tc>
          <w:tcPr>
            <w:tcW w:type="dxa" w:w="720"/>
          </w:tcPr>
          <w:p>
            <w:r/>
            <w:r>
              <w:rPr>
                <w:sz w:val="19"/>
              </w:rPr>
              <w:t>2</w:t>
            </w:r>
          </w:p>
        </w:tc>
        <w:tc>
          <w:tcPr>
            <w:tcW w:type="dxa" w:w="4032"/>
          </w:tcPr>
          <w:p>
            <w:r/>
            <w:r>
              <w:rPr>
                <w:sz w:val="19"/>
              </w:rPr>
              <w:t>from&lt;start = true → clamp auf start; So übersprungen</w:t>
            </w:r>
          </w:p>
        </w:tc>
      </w:tr>
      <w:tr>
        <w:tc>
          <w:tcPr>
            <w:tcW w:type="dxa" w:w="720"/>
          </w:tcPr>
          <w:p>
            <w:r/>
            <w:r>
              <w:rPr>
                <w:sz w:val="19"/>
              </w:rPr>
              <w:t>CR3</w:t>
            </w:r>
          </w:p>
        </w:tc>
        <w:tc>
          <w:tcPr>
            <w:tcW w:type="dxa" w:w="3312"/>
          </w:tcPr>
          <w:p>
            <w:r/>
            <w:r>
              <w:rPr>
                <w:sz w:val="19"/>
              </w:rPr>
              <w:t>[Mo 01-30 … 02-10]</w:t>
            </w:r>
          </w:p>
        </w:tc>
        <w:tc>
          <w:tcPr>
            <w:tcW w:type="dxa" w:w="720"/>
          </w:tcPr>
          <w:p>
            <w:r/>
            <w:r>
              <w:rPr>
                <w:sz w:val="19"/>
              </w:rPr>
              <w:t>2</w:t>
            </w:r>
          </w:p>
        </w:tc>
        <w:tc>
          <w:tcPr>
            <w:tcW w:type="dxa" w:w="4032"/>
          </w:tcPr>
          <w:p>
            <w:r/>
            <w:r>
              <w:rPr>
                <w:sz w:val="19"/>
              </w:rPr>
              <w:t>d.Before(end) stoppt am Monatsende (end exklusiv)</w:t>
            </w:r>
          </w:p>
        </w:tc>
      </w:tr>
      <w:tr>
        <w:tc>
          <w:tcPr>
            <w:tcW w:type="dxa" w:w="720"/>
          </w:tcPr>
          <w:p>
            <w:r/>
            <w:r>
              <w:rPr>
                <w:sz w:val="19"/>
              </w:rPr>
              <w:t>CR4</w:t>
            </w:r>
          </w:p>
        </w:tc>
        <w:tc>
          <w:tcPr>
            <w:tcW w:type="dxa" w:w="3312"/>
          </w:tcPr>
          <w:p>
            <w:r/>
            <w:r>
              <w:rPr>
                <w:sz w:val="19"/>
              </w:rPr>
              <w:t>[Mo01-02…Mi01-04] + [Di01-03…Do01-05]</w:t>
            </w:r>
          </w:p>
        </w:tc>
        <w:tc>
          <w:tcPr>
            <w:tcW w:type="dxa" w:w="720"/>
          </w:tcPr>
          <w:p>
            <w:r/>
            <w:r>
              <w:rPr>
                <w:sz w:val="19"/>
              </w:rPr>
              <w:t>4</w:t>
            </w:r>
          </w:p>
        </w:tc>
        <w:tc>
          <w:tcPr>
            <w:tcW w:type="dxa" w:w="4032"/>
          </w:tcPr>
          <w:p>
            <w:r/>
            <w:r>
              <w:rPr>
                <w:sz w:val="19"/>
              </w:rPr>
              <w:t>Überlappung → Map dedupliziert (nicht 6)</w:t>
            </w:r>
          </w:p>
        </w:tc>
      </w:tr>
      <w:tr>
        <w:tc>
          <w:tcPr>
            <w:tcW w:type="dxa" w:w="720"/>
          </w:tcPr>
          <w:p>
            <w:r/>
            <w:r>
              <w:rPr>
                <w:sz w:val="19"/>
              </w:rPr>
              <w:t>CR5</w:t>
            </w:r>
          </w:p>
        </w:tc>
        <w:tc>
          <w:tcPr>
            <w:tcW w:type="dxa" w:w="3312"/>
          </w:tcPr>
          <w:p>
            <w:r/>
            <w:r>
              <w:rPr>
                <w:sz w:val="19"/>
              </w:rPr>
              <w:t>[Sa 01-07 … So 01-08]</w:t>
            </w:r>
          </w:p>
        </w:tc>
        <w:tc>
          <w:tcPr>
            <w:tcW w:type="dxa" w:w="720"/>
          </w:tcPr>
          <w:p>
            <w:r/>
            <w:r>
              <w:rPr>
                <w:sz w:val="19"/>
              </w:rPr>
              <w:t>0</w:t>
            </w:r>
          </w:p>
        </w:tc>
        <w:tc>
          <w:tcPr>
            <w:tcW w:type="dxa" w:w="4032"/>
          </w:tcPr>
          <w:p>
            <w:r/>
            <w:r>
              <w:rPr>
                <w:sz w:val="19"/>
              </w:rPr>
              <w:t>Wochenend-Bedingung false</w:t>
            </w:r>
          </w:p>
        </w:tc>
      </w:tr>
      <w:tr>
        <w:tc>
          <w:tcPr>
            <w:tcW w:type="dxa" w:w="720"/>
          </w:tcPr>
          <w:p>
            <w:r/>
            <w:r>
              <w:rPr>
                <w:sz w:val="19"/>
              </w:rPr>
              <w:t>CR6</w:t>
            </w:r>
          </w:p>
        </w:tc>
        <w:tc>
          <w:tcPr>
            <w:tcW w:type="dxa" w:w="3312"/>
          </w:tcPr>
          <w:p>
            <w:r/>
            <w:r>
              <w:rPr>
                <w:sz w:val="19"/>
              </w:rPr>
              <w:t>nil</w:t>
            </w:r>
          </w:p>
        </w:tc>
        <w:tc>
          <w:tcPr>
            <w:tcW w:type="dxa" w:w="720"/>
          </w:tcPr>
          <w:p>
            <w:r/>
            <w:r>
              <w:rPr>
                <w:sz w:val="19"/>
              </w:rPr>
              <w:t>0</w:t>
            </w:r>
          </w:p>
        </w:tc>
        <w:tc>
          <w:tcPr>
            <w:tcW w:type="dxa" w:w="4032"/>
          </w:tcPr>
          <w:p>
            <w:r/>
            <w:r>
              <w:rPr>
                <w:sz w:val="19"/>
              </w:rPr>
              <w:t>äußere Schleife 0×</w:t>
            </w:r>
          </w:p>
        </w:tc>
      </w:tr>
    </w:tbl>
    <w:p>
      <w:pPr>
        <w:pStyle w:val="Heading2"/>
      </w:pPr>
      <w:r>
        <w:rPr>
          <w:color w:val="1F4E79"/>
        </w:rPr>
        <w:t>5.4 sollMinuten(wochenstunden, tage)</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720"/>
          </w:tcPr>
          <w:p>
            <w:r/>
            <w:r>
              <w:rPr>
                <w:b/>
                <w:sz w:val="20"/>
              </w:rPr>
              <w:t>ID</w:t>
            </w:r>
          </w:p>
        </w:tc>
        <w:tc>
          <w:tcPr>
            <w:tcW w:type="dxa" w:w="1872"/>
          </w:tcPr>
          <w:p>
            <w:r/>
            <w:r>
              <w:rPr>
                <w:b/>
                <w:sz w:val="20"/>
              </w:rPr>
              <w:t>Eingabe</w:t>
            </w:r>
          </w:p>
        </w:tc>
        <w:tc>
          <w:tcPr>
            <w:tcW w:type="dxa" w:w="1440"/>
          </w:tcPr>
          <w:p>
            <w:r/>
            <w:r>
              <w:rPr>
                <w:b/>
                <w:sz w:val="20"/>
              </w:rPr>
              <w:t>Erwartet</w:t>
            </w:r>
          </w:p>
        </w:tc>
        <w:tc>
          <w:tcPr>
            <w:tcW w:type="dxa" w:w="4752"/>
          </w:tcPr>
          <w:p>
            <w:r/>
            <w:r>
              <w:rPr>
                <w:b/>
                <w:sz w:val="20"/>
              </w:rPr>
              <w:t>Abgedeckter Zweig</w:t>
            </w:r>
          </w:p>
        </w:tc>
      </w:tr>
      <w:tr>
        <w:tc>
          <w:tcPr>
            <w:tcW w:type="dxa" w:w="720"/>
          </w:tcPr>
          <w:p>
            <w:r/>
            <w:r>
              <w:rPr>
                <w:sz w:val="19"/>
              </w:rPr>
              <w:t>SM1</w:t>
            </w:r>
          </w:p>
        </w:tc>
        <w:tc>
          <w:tcPr>
            <w:tcW w:type="dxa" w:w="1872"/>
          </w:tcPr>
          <w:p>
            <w:r/>
            <w:r>
              <w:rPr>
                <w:sz w:val="19"/>
              </w:rPr>
              <w:t>"40", 22</w:t>
            </w:r>
          </w:p>
        </w:tc>
        <w:tc>
          <w:tcPr>
            <w:tcW w:type="dxa" w:w="1440"/>
          </w:tcPr>
          <w:p>
            <w:r/>
            <w:r>
              <w:rPr>
                <w:sz w:val="19"/>
              </w:rPr>
              <w:t>10560</w:t>
            </w:r>
          </w:p>
        </w:tc>
        <w:tc>
          <w:tcPr>
            <w:tcW w:type="dxa" w:w="4752"/>
          </w:tcPr>
          <w:p>
            <w:r/>
            <w:r>
              <w:rPr>
                <w:sz w:val="19"/>
              </w:rPr>
              <w:t>Parse ok</w:t>
            </w:r>
          </w:p>
        </w:tc>
      </w:tr>
      <w:tr>
        <w:tc>
          <w:tcPr>
            <w:tcW w:type="dxa" w:w="720"/>
          </w:tcPr>
          <w:p>
            <w:r/>
            <w:r>
              <w:rPr>
                <w:sz w:val="19"/>
              </w:rPr>
              <w:t>SM2</w:t>
            </w:r>
          </w:p>
        </w:tc>
        <w:tc>
          <w:tcPr>
            <w:tcW w:type="dxa" w:w="1872"/>
          </w:tcPr>
          <w:p>
            <w:r/>
            <w:r>
              <w:rPr>
                <w:sz w:val="19"/>
              </w:rPr>
              <w:t>"40.3", 1</w:t>
            </w:r>
          </w:p>
        </w:tc>
        <w:tc>
          <w:tcPr>
            <w:tcW w:type="dxa" w:w="1440"/>
          </w:tcPr>
          <w:p>
            <w:r/>
            <w:r>
              <w:rPr>
                <w:sz w:val="19"/>
              </w:rPr>
              <w:t>484</w:t>
            </w:r>
          </w:p>
        </w:tc>
        <w:tc>
          <w:tcPr>
            <w:tcW w:type="dxa" w:w="4752"/>
          </w:tcPr>
          <w:p>
            <w:r/>
            <w:r>
              <w:rPr>
                <w:sz w:val="19"/>
              </w:rPr>
              <w:t>Parse ok + math.Round (483,6 → 484)</w:t>
            </w:r>
          </w:p>
        </w:tc>
      </w:tr>
      <w:tr>
        <w:tc>
          <w:tcPr>
            <w:tcW w:type="dxa" w:w="720"/>
          </w:tcPr>
          <w:p>
            <w:r/>
            <w:r>
              <w:rPr>
                <w:sz w:val="19"/>
              </w:rPr>
              <w:t>SM3</w:t>
            </w:r>
          </w:p>
        </w:tc>
        <w:tc>
          <w:tcPr>
            <w:tcW w:type="dxa" w:w="1872"/>
          </w:tcPr>
          <w:p>
            <w:r/>
            <w:r>
              <w:rPr>
                <w:sz w:val="19"/>
              </w:rPr>
              <w:t>"abc", 22</w:t>
            </w:r>
          </w:p>
        </w:tc>
        <w:tc>
          <w:tcPr>
            <w:tcW w:type="dxa" w:w="1440"/>
          </w:tcPr>
          <w:p>
            <w:r/>
            <w:r>
              <w:rPr>
                <w:sz w:val="19"/>
              </w:rPr>
              <w:t>0</w:t>
            </w:r>
          </w:p>
        </w:tc>
        <w:tc>
          <w:tcPr>
            <w:tcW w:type="dxa" w:w="4752"/>
          </w:tcPr>
          <w:p>
            <w:r/>
            <w:r>
              <w:rPr>
                <w:sz w:val="19"/>
              </w:rPr>
              <w:t>err != nil = true → wh=0</w:t>
            </w:r>
          </w:p>
        </w:tc>
      </w:tr>
      <w:tr>
        <w:tc>
          <w:tcPr>
            <w:tcW w:type="dxa" w:w="720"/>
          </w:tcPr>
          <w:p>
            <w:r/>
            <w:r>
              <w:rPr>
                <w:sz w:val="19"/>
              </w:rPr>
              <w:t>SM4</w:t>
            </w:r>
          </w:p>
        </w:tc>
        <w:tc>
          <w:tcPr>
            <w:tcW w:type="dxa" w:w="1872"/>
          </w:tcPr>
          <w:p>
            <w:r/>
            <w:r>
              <w:rPr>
                <w:sz w:val="19"/>
              </w:rPr>
              <w:t>"", 5</w:t>
            </w:r>
          </w:p>
        </w:tc>
        <w:tc>
          <w:tcPr>
            <w:tcW w:type="dxa" w:w="1440"/>
          </w:tcPr>
          <w:p>
            <w:r/>
            <w:r>
              <w:rPr>
                <w:sz w:val="19"/>
              </w:rPr>
              <w:t>0</w:t>
            </w:r>
          </w:p>
        </w:tc>
        <w:tc>
          <w:tcPr>
            <w:tcW w:type="dxa" w:w="4752"/>
          </w:tcPr>
          <w:p>
            <w:r/>
            <w:r>
              <w:rPr>
                <w:sz w:val="19"/>
              </w:rPr>
              <w:t>err != nil = true (leerer String)</w:t>
            </w:r>
          </w:p>
        </w:tc>
      </w:tr>
      <w:tr>
        <w:tc>
          <w:tcPr>
            <w:tcW w:type="dxa" w:w="720"/>
          </w:tcPr>
          <w:p>
            <w:r/>
            <w:r>
              <w:rPr>
                <w:sz w:val="19"/>
              </w:rPr>
              <w:t>SM5</w:t>
            </w:r>
          </w:p>
        </w:tc>
        <w:tc>
          <w:tcPr>
            <w:tcW w:type="dxa" w:w="1872"/>
          </w:tcPr>
          <w:p>
            <w:r/>
            <w:r>
              <w:rPr>
                <w:sz w:val="19"/>
              </w:rPr>
              <w:t>"40", 0</w:t>
            </w:r>
          </w:p>
        </w:tc>
        <w:tc>
          <w:tcPr>
            <w:tcW w:type="dxa" w:w="1440"/>
          </w:tcPr>
          <w:p>
            <w:r/>
            <w:r>
              <w:rPr>
                <w:sz w:val="19"/>
              </w:rPr>
              <w:t>0</w:t>
            </w:r>
          </w:p>
        </w:tc>
        <w:tc>
          <w:tcPr>
            <w:tcW w:type="dxa" w:w="4752"/>
          </w:tcPr>
          <w:p>
            <w:r/>
            <w:r>
              <w:rPr>
                <w:sz w:val="19"/>
              </w:rPr>
              <w:t>Parse ok, 0 Tage</w:t>
            </w:r>
          </w:p>
        </w:tc>
      </w:tr>
    </w:tbl>
    <w:p>
      <w:pPr>
        <w:pStyle w:val="Heading2"/>
      </w:pPr>
      <w:r>
        <w:rPr>
          <w:color w:val="1F4E79"/>
        </w:rPr>
        <w:t>5.5 computeUeberstunden(...)</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720"/>
          </w:tcPr>
          <w:p>
            <w:r/>
            <w:r>
              <w:rPr>
                <w:b/>
                <w:sz w:val="20"/>
              </w:rPr>
              <w:t>ID</w:t>
            </w:r>
          </w:p>
        </w:tc>
        <w:tc>
          <w:tcPr>
            <w:tcW w:type="dxa" w:w="3456"/>
          </w:tcPr>
          <w:p>
            <w:r/>
            <w:r>
              <w:rPr>
                <w:b/>
                <w:sz w:val="20"/>
              </w:rPr>
              <w:t>Eingabe</w:t>
            </w:r>
          </w:p>
        </w:tc>
        <w:tc>
          <w:tcPr>
            <w:tcW w:type="dxa" w:w="2592"/>
          </w:tcPr>
          <w:p>
            <w:r/>
            <w:r>
              <w:rPr>
                <w:b/>
                <w:sz w:val="20"/>
              </w:rPr>
              <w:t>Erwartet</w:t>
            </w:r>
          </w:p>
        </w:tc>
        <w:tc>
          <w:tcPr>
            <w:tcW w:type="dxa" w:w="2736"/>
          </w:tcPr>
          <w:p>
            <w:r/>
            <w:r>
              <w:rPr>
                <w:b/>
                <w:sz w:val="20"/>
              </w:rPr>
              <w:t>Abgedeckter Zweig</w:t>
            </w:r>
          </w:p>
        </w:tc>
      </w:tr>
      <w:tr>
        <w:tc>
          <w:tcPr>
            <w:tcW w:type="dxa" w:w="720"/>
          </w:tcPr>
          <w:p>
            <w:r/>
            <w:r>
              <w:rPr>
                <w:sz w:val="19"/>
              </w:rPr>
              <w:t>CU1</w:t>
            </w:r>
          </w:p>
        </w:tc>
        <w:tc>
          <w:tcPr>
            <w:tcW w:type="dxa" w:w="3456"/>
          </w:tcPr>
          <w:p>
            <w:r/>
            <w:r>
              <w:rPr>
                <w:sz w:val="19"/>
              </w:rPr>
              <w:t>2023-01, 40h, ist=9000, Abw=5 Tage</w:t>
            </w:r>
          </w:p>
        </w:tc>
        <w:tc>
          <w:tcPr>
            <w:tcW w:type="dxa" w:w="2592"/>
          </w:tcPr>
          <w:p>
            <w:r/>
            <w:r>
              <w:rPr>
                <w:sz w:val="19"/>
              </w:rPr>
              <w:t>Soll 8160, Saldo +840</w:t>
            </w:r>
          </w:p>
        </w:tc>
        <w:tc>
          <w:tcPr>
            <w:tcW w:type="dxa" w:w="2736"/>
          </w:tcPr>
          <w:p>
            <w:r/>
            <w:r>
              <w:rPr>
                <w:sz w:val="19"/>
              </w:rPr>
              <w:t>effektiv&lt;0 = false (positives Saldo)</w:t>
            </w:r>
          </w:p>
        </w:tc>
      </w:tr>
      <w:tr>
        <w:tc>
          <w:tcPr>
            <w:tcW w:type="dxa" w:w="720"/>
          </w:tcPr>
          <w:p>
            <w:r/>
            <w:r>
              <w:rPr>
                <w:sz w:val="19"/>
              </w:rPr>
              <w:t>CU2</w:t>
            </w:r>
          </w:p>
        </w:tc>
        <w:tc>
          <w:tcPr>
            <w:tcW w:type="dxa" w:w="3456"/>
          </w:tcPr>
          <w:p>
            <w:r/>
            <w:r>
              <w:rPr>
                <w:sz w:val="19"/>
              </w:rPr>
              <w:t>2023-01, 40h, ist=0, keine Abw</w:t>
            </w:r>
          </w:p>
        </w:tc>
        <w:tc>
          <w:tcPr>
            <w:tcW w:type="dxa" w:w="2592"/>
          </w:tcPr>
          <w:p>
            <w:r/>
            <w:r>
              <w:rPr>
                <w:sz w:val="19"/>
              </w:rPr>
              <w:t>Soll 10560, Saldo −10560</w:t>
            </w:r>
          </w:p>
        </w:tc>
        <w:tc>
          <w:tcPr>
            <w:tcW w:type="dxa" w:w="2736"/>
          </w:tcPr>
          <w:p>
            <w:r/>
            <w:r>
              <w:rPr>
                <w:sz w:val="19"/>
              </w:rPr>
              <w:t>Normalpfad, negatives Saldo (Minusstunden)</w:t>
            </w:r>
          </w:p>
        </w:tc>
      </w:tr>
    </w:tbl>
    <w:p>
      <w:r>
        <w:rPr>
          <w:b w:val="0"/>
          <w:i/>
        </w:rPr>
        <w:t>Infeasibler Zweig (dokumentierte Quality-Erkenntnis): Der Zweig effektiv &lt; 0 ist unerreichbar, weil stets credited ≤ werktage gilt (beide zählen Werktage im selben Fenster). go tool cover weist computeUeberstunden daher mit 85,7 % aus (eine nicht erreichbare Anweisung). Zweigüberdeckung der erreichbaren Pfade = 100 %.</w:t>
      </w:r>
    </w:p>
    <w:p>
      <w:pPr>
        <w:pStyle w:val="Heading2"/>
      </w:pPr>
      <w:r>
        <w:rPr>
          <w:color w:val="1F4E79"/>
        </w:rPr>
        <w:t>5.6 parseMonat(w, r) – via httptest</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864"/>
          </w:tcPr>
          <w:p>
            <w:r/>
            <w:r>
              <w:rPr>
                <w:b/>
                <w:sz w:val="20"/>
              </w:rPr>
              <w:t>ID</w:t>
            </w:r>
          </w:p>
        </w:tc>
        <w:tc>
          <w:tcPr>
            <w:tcW w:type="dxa" w:w="2736"/>
          </w:tcPr>
          <w:p>
            <w:r/>
            <w:r>
              <w:rPr>
                <w:b/>
                <w:sz w:val="20"/>
              </w:rPr>
              <w:t>Query</w:t>
            </w:r>
          </w:p>
        </w:tc>
        <w:tc>
          <w:tcPr>
            <w:tcW w:type="dxa" w:w="1584"/>
          </w:tcPr>
          <w:p>
            <w:r/>
            <w:r>
              <w:rPr>
                <w:b/>
                <w:sz w:val="20"/>
              </w:rPr>
              <w:t>Erwartet</w:t>
            </w:r>
          </w:p>
        </w:tc>
        <w:tc>
          <w:tcPr>
            <w:tcW w:type="dxa" w:w="3744"/>
          </w:tcPr>
          <w:p>
            <w:r/>
            <w:r>
              <w:rPr>
                <w:b/>
                <w:sz w:val="20"/>
              </w:rPr>
              <w:t>Abgedeckter Zweig</w:t>
            </w:r>
          </w:p>
        </w:tc>
      </w:tr>
      <w:tr>
        <w:tc>
          <w:tcPr>
            <w:tcW w:type="dxa" w:w="864"/>
          </w:tcPr>
          <w:p>
            <w:r/>
            <w:r>
              <w:rPr>
                <w:sz w:val="19"/>
              </w:rPr>
              <w:t>PM1</w:t>
            </w:r>
          </w:p>
        </w:tc>
        <w:tc>
          <w:tcPr>
            <w:tcW w:type="dxa" w:w="2736"/>
          </w:tcPr>
          <w:p>
            <w:r/>
            <w:r>
              <w:rPr>
                <w:sz w:val="19"/>
              </w:rPr>
              <w:t>(leer)</w:t>
            </w:r>
          </w:p>
        </w:tc>
        <w:tc>
          <w:tcPr>
            <w:tcW w:type="dxa" w:w="1584"/>
          </w:tcPr>
          <w:p>
            <w:r/>
            <w:r>
              <w:rPr>
                <w:sz w:val="19"/>
              </w:rPr>
              <w:t>ok, jetzt</w:t>
            </w:r>
          </w:p>
        </w:tc>
        <w:tc>
          <w:tcPr>
            <w:tcW w:type="dxa" w:w="3744"/>
          </w:tcPr>
          <w:p>
            <w:r/>
            <w:r>
              <w:rPr>
                <w:sz w:val="19"/>
              </w:rPr>
              <w:t>beide leer → Default now()</w:t>
            </w:r>
          </w:p>
        </w:tc>
      </w:tr>
      <w:tr>
        <w:tc>
          <w:tcPr>
            <w:tcW w:type="dxa" w:w="864"/>
          </w:tcPr>
          <w:p>
            <w:r/>
            <w:r>
              <w:rPr>
                <w:sz w:val="19"/>
              </w:rPr>
              <w:t>PM2</w:t>
            </w:r>
          </w:p>
        </w:tc>
        <w:tc>
          <w:tcPr>
            <w:tcW w:type="dxa" w:w="2736"/>
          </w:tcPr>
          <w:p>
            <w:r/>
            <w:r>
              <w:rPr>
                <w:sz w:val="19"/>
              </w:rPr>
              <w:t>jahr=2026</w:t>
            </w:r>
          </w:p>
        </w:tc>
        <w:tc>
          <w:tcPr>
            <w:tcW w:type="dxa" w:w="1584"/>
          </w:tcPr>
          <w:p>
            <w:r/>
            <w:r>
              <w:rPr>
                <w:sz w:val="19"/>
              </w:rPr>
              <w:t>400</w:t>
            </w:r>
          </w:p>
        </w:tc>
        <w:tc>
          <w:tcPr>
            <w:tcW w:type="dxa" w:w="3744"/>
          </w:tcPr>
          <w:p>
            <w:r/>
            <w:r>
              <w:rPr>
                <w:sz w:val="19"/>
              </w:rPr>
              <w:t>genau einer fehlt (monat)</w:t>
            </w:r>
          </w:p>
        </w:tc>
      </w:tr>
      <w:tr>
        <w:tc>
          <w:tcPr>
            <w:tcW w:type="dxa" w:w="864"/>
          </w:tcPr>
          <w:p>
            <w:r/>
            <w:r>
              <w:rPr>
                <w:sz w:val="19"/>
              </w:rPr>
              <w:t>PM3</w:t>
            </w:r>
          </w:p>
        </w:tc>
        <w:tc>
          <w:tcPr>
            <w:tcW w:type="dxa" w:w="2736"/>
          </w:tcPr>
          <w:p>
            <w:r/>
            <w:r>
              <w:rPr>
                <w:sz w:val="19"/>
              </w:rPr>
              <w:t>monat=6</w:t>
            </w:r>
          </w:p>
        </w:tc>
        <w:tc>
          <w:tcPr>
            <w:tcW w:type="dxa" w:w="1584"/>
          </w:tcPr>
          <w:p>
            <w:r/>
            <w:r>
              <w:rPr>
                <w:sz w:val="19"/>
              </w:rPr>
              <w:t>400</w:t>
            </w:r>
          </w:p>
        </w:tc>
        <w:tc>
          <w:tcPr>
            <w:tcW w:type="dxa" w:w="3744"/>
          </w:tcPr>
          <w:p>
            <w:r/>
            <w:r>
              <w:rPr>
                <w:sz w:val="19"/>
              </w:rPr>
              <w:t>genau einer fehlt (jahr)</w:t>
            </w:r>
          </w:p>
        </w:tc>
      </w:tr>
      <w:tr>
        <w:tc>
          <w:tcPr>
            <w:tcW w:type="dxa" w:w="864"/>
          </w:tcPr>
          <w:p>
            <w:r/>
            <w:r>
              <w:rPr>
                <w:sz w:val="19"/>
              </w:rPr>
              <w:t>PM4</w:t>
            </w:r>
          </w:p>
        </w:tc>
        <w:tc>
          <w:tcPr>
            <w:tcW w:type="dxa" w:w="2736"/>
          </w:tcPr>
          <w:p>
            <w:r/>
            <w:r>
              <w:rPr>
                <w:sz w:val="19"/>
              </w:rPr>
              <w:t>jahr=abc&amp;monat=6</w:t>
            </w:r>
          </w:p>
        </w:tc>
        <w:tc>
          <w:tcPr>
            <w:tcW w:type="dxa" w:w="1584"/>
          </w:tcPr>
          <w:p>
            <w:r/>
            <w:r>
              <w:rPr>
                <w:sz w:val="19"/>
              </w:rPr>
              <w:t>400</w:t>
            </w:r>
          </w:p>
        </w:tc>
        <w:tc>
          <w:tcPr>
            <w:tcW w:type="dxa" w:w="3744"/>
          </w:tcPr>
          <w:p>
            <w:r/>
            <w:r>
              <w:rPr>
                <w:sz w:val="19"/>
              </w:rPr>
              <w:t>Atoi(jahr) Fehler</w:t>
            </w:r>
          </w:p>
        </w:tc>
      </w:tr>
      <w:tr>
        <w:tc>
          <w:tcPr>
            <w:tcW w:type="dxa" w:w="864"/>
          </w:tcPr>
          <w:p>
            <w:r/>
            <w:r>
              <w:rPr>
                <w:sz w:val="19"/>
              </w:rPr>
              <w:t>PM5</w:t>
            </w:r>
          </w:p>
        </w:tc>
        <w:tc>
          <w:tcPr>
            <w:tcW w:type="dxa" w:w="2736"/>
          </w:tcPr>
          <w:p>
            <w:r/>
            <w:r>
              <w:rPr>
                <w:sz w:val="19"/>
              </w:rPr>
              <w:t>jahr=1999&amp;monat=6</w:t>
            </w:r>
          </w:p>
        </w:tc>
        <w:tc>
          <w:tcPr>
            <w:tcW w:type="dxa" w:w="1584"/>
          </w:tcPr>
          <w:p>
            <w:r/>
            <w:r>
              <w:rPr>
                <w:sz w:val="19"/>
              </w:rPr>
              <w:t>400</w:t>
            </w:r>
          </w:p>
        </w:tc>
        <w:tc>
          <w:tcPr>
            <w:tcW w:type="dxa" w:w="3744"/>
          </w:tcPr>
          <w:p>
            <w:r/>
            <w:r>
              <w:rPr>
                <w:sz w:val="19"/>
              </w:rPr>
              <w:t>jahr &lt; 2000</w:t>
            </w:r>
          </w:p>
        </w:tc>
      </w:tr>
      <w:tr>
        <w:tc>
          <w:tcPr>
            <w:tcW w:type="dxa" w:w="864"/>
          </w:tcPr>
          <w:p>
            <w:r/>
            <w:r>
              <w:rPr>
                <w:sz w:val="19"/>
              </w:rPr>
              <w:t>PM6</w:t>
            </w:r>
          </w:p>
        </w:tc>
        <w:tc>
          <w:tcPr>
            <w:tcW w:type="dxa" w:w="2736"/>
          </w:tcPr>
          <w:p>
            <w:r/>
            <w:r>
              <w:rPr>
                <w:sz w:val="19"/>
              </w:rPr>
              <w:t>jahr=2101&amp;monat=6</w:t>
            </w:r>
          </w:p>
        </w:tc>
        <w:tc>
          <w:tcPr>
            <w:tcW w:type="dxa" w:w="1584"/>
          </w:tcPr>
          <w:p>
            <w:r/>
            <w:r>
              <w:rPr>
                <w:sz w:val="19"/>
              </w:rPr>
              <w:t>400</w:t>
            </w:r>
          </w:p>
        </w:tc>
        <w:tc>
          <w:tcPr>
            <w:tcW w:type="dxa" w:w="3744"/>
          </w:tcPr>
          <w:p>
            <w:r/>
            <w:r>
              <w:rPr>
                <w:sz w:val="19"/>
              </w:rPr>
              <w:t>jahr &gt; 2100</w:t>
            </w:r>
          </w:p>
        </w:tc>
      </w:tr>
      <w:tr>
        <w:tc>
          <w:tcPr>
            <w:tcW w:type="dxa" w:w="864"/>
          </w:tcPr>
          <w:p>
            <w:r/>
            <w:r>
              <w:rPr>
                <w:sz w:val="19"/>
              </w:rPr>
              <w:t>PM7</w:t>
            </w:r>
          </w:p>
        </w:tc>
        <w:tc>
          <w:tcPr>
            <w:tcW w:type="dxa" w:w="2736"/>
          </w:tcPr>
          <w:p>
            <w:r/>
            <w:r>
              <w:rPr>
                <w:sz w:val="19"/>
              </w:rPr>
              <w:t>jahr=2026&amp;monat=xx</w:t>
            </w:r>
          </w:p>
        </w:tc>
        <w:tc>
          <w:tcPr>
            <w:tcW w:type="dxa" w:w="1584"/>
          </w:tcPr>
          <w:p>
            <w:r/>
            <w:r>
              <w:rPr>
                <w:sz w:val="19"/>
              </w:rPr>
              <w:t>400</w:t>
            </w:r>
          </w:p>
        </w:tc>
        <w:tc>
          <w:tcPr>
            <w:tcW w:type="dxa" w:w="3744"/>
          </w:tcPr>
          <w:p>
            <w:r/>
            <w:r>
              <w:rPr>
                <w:sz w:val="19"/>
              </w:rPr>
              <w:t>Atoi(monat) Fehler</w:t>
            </w:r>
          </w:p>
        </w:tc>
      </w:tr>
      <w:tr>
        <w:tc>
          <w:tcPr>
            <w:tcW w:type="dxa" w:w="864"/>
          </w:tcPr>
          <w:p>
            <w:r/>
            <w:r>
              <w:rPr>
                <w:sz w:val="19"/>
              </w:rPr>
              <w:t>PM8</w:t>
            </w:r>
          </w:p>
        </w:tc>
        <w:tc>
          <w:tcPr>
            <w:tcW w:type="dxa" w:w="2736"/>
          </w:tcPr>
          <w:p>
            <w:r/>
            <w:r>
              <w:rPr>
                <w:sz w:val="19"/>
              </w:rPr>
              <w:t>jahr=2026&amp;monat=0</w:t>
            </w:r>
          </w:p>
        </w:tc>
        <w:tc>
          <w:tcPr>
            <w:tcW w:type="dxa" w:w="1584"/>
          </w:tcPr>
          <w:p>
            <w:r/>
            <w:r>
              <w:rPr>
                <w:sz w:val="19"/>
              </w:rPr>
              <w:t>400</w:t>
            </w:r>
          </w:p>
        </w:tc>
        <w:tc>
          <w:tcPr>
            <w:tcW w:type="dxa" w:w="3744"/>
          </w:tcPr>
          <w:p>
            <w:r/>
            <w:r>
              <w:rPr>
                <w:sz w:val="19"/>
              </w:rPr>
              <w:t>monat &lt; 1</w:t>
            </w:r>
          </w:p>
        </w:tc>
      </w:tr>
      <w:tr>
        <w:tc>
          <w:tcPr>
            <w:tcW w:type="dxa" w:w="864"/>
          </w:tcPr>
          <w:p>
            <w:r/>
            <w:r>
              <w:rPr>
                <w:sz w:val="19"/>
              </w:rPr>
              <w:t>PM9</w:t>
            </w:r>
          </w:p>
        </w:tc>
        <w:tc>
          <w:tcPr>
            <w:tcW w:type="dxa" w:w="2736"/>
          </w:tcPr>
          <w:p>
            <w:r/>
            <w:r>
              <w:rPr>
                <w:sz w:val="19"/>
              </w:rPr>
              <w:t>jahr=2026&amp;monat=13</w:t>
            </w:r>
          </w:p>
        </w:tc>
        <w:tc>
          <w:tcPr>
            <w:tcW w:type="dxa" w:w="1584"/>
          </w:tcPr>
          <w:p>
            <w:r/>
            <w:r>
              <w:rPr>
                <w:sz w:val="19"/>
              </w:rPr>
              <w:t>400</w:t>
            </w:r>
          </w:p>
        </w:tc>
        <w:tc>
          <w:tcPr>
            <w:tcW w:type="dxa" w:w="3744"/>
          </w:tcPr>
          <w:p>
            <w:r/>
            <w:r>
              <w:rPr>
                <w:sz w:val="19"/>
              </w:rPr>
              <w:t>monat &gt; 12</w:t>
            </w:r>
          </w:p>
        </w:tc>
      </w:tr>
      <w:tr>
        <w:tc>
          <w:tcPr>
            <w:tcW w:type="dxa" w:w="864"/>
          </w:tcPr>
          <w:p>
            <w:r/>
            <w:r>
              <w:rPr>
                <w:sz w:val="19"/>
              </w:rPr>
              <w:t>PM10</w:t>
            </w:r>
          </w:p>
        </w:tc>
        <w:tc>
          <w:tcPr>
            <w:tcW w:type="dxa" w:w="2736"/>
          </w:tcPr>
          <w:p>
            <w:r/>
            <w:r>
              <w:rPr>
                <w:sz w:val="19"/>
              </w:rPr>
              <w:t>jahr=2026&amp;monat=6</w:t>
            </w:r>
          </w:p>
        </w:tc>
        <w:tc>
          <w:tcPr>
            <w:tcW w:type="dxa" w:w="1584"/>
          </w:tcPr>
          <w:p>
            <w:r/>
            <w:r>
              <w:rPr>
                <w:sz w:val="19"/>
              </w:rPr>
              <w:t>ok (2026,6)</w:t>
            </w:r>
          </w:p>
        </w:tc>
        <w:tc>
          <w:tcPr>
            <w:tcW w:type="dxa" w:w="3744"/>
          </w:tcPr>
          <w:p>
            <w:r/>
            <w:r>
              <w:rPr>
                <w:sz w:val="19"/>
              </w:rPr>
              <w:t>gültiger Pfad</w:t>
            </w:r>
          </w:p>
        </w:tc>
      </w:tr>
      <w:tr>
        <w:tc>
          <w:tcPr>
            <w:tcW w:type="dxa" w:w="864"/>
          </w:tcPr>
          <w:p>
            <w:r/>
            <w:r>
              <w:rPr>
                <w:sz w:val="19"/>
              </w:rPr>
              <w:t>PM11</w:t>
            </w:r>
          </w:p>
        </w:tc>
        <w:tc>
          <w:tcPr>
            <w:tcW w:type="dxa" w:w="2736"/>
          </w:tcPr>
          <w:p>
            <w:r/>
            <w:r>
              <w:rPr>
                <w:sz w:val="19"/>
              </w:rPr>
              <w:t>jahr=2000&amp;monat=1</w:t>
            </w:r>
          </w:p>
        </w:tc>
        <w:tc>
          <w:tcPr>
            <w:tcW w:type="dxa" w:w="1584"/>
          </w:tcPr>
          <w:p>
            <w:r/>
            <w:r>
              <w:rPr>
                <w:sz w:val="19"/>
              </w:rPr>
              <w:t>ok (2000,1)</w:t>
            </w:r>
          </w:p>
        </w:tc>
        <w:tc>
          <w:tcPr>
            <w:tcW w:type="dxa" w:w="3744"/>
          </w:tcPr>
          <w:p>
            <w:r/>
            <w:r>
              <w:rPr>
                <w:sz w:val="19"/>
              </w:rPr>
              <w:t>untere Grenze gültig</w:t>
            </w:r>
          </w:p>
        </w:tc>
      </w:tr>
      <w:tr>
        <w:tc>
          <w:tcPr>
            <w:tcW w:type="dxa" w:w="864"/>
          </w:tcPr>
          <w:p>
            <w:r/>
            <w:r>
              <w:rPr>
                <w:sz w:val="19"/>
              </w:rPr>
              <w:t>PM12</w:t>
            </w:r>
          </w:p>
        </w:tc>
        <w:tc>
          <w:tcPr>
            <w:tcW w:type="dxa" w:w="2736"/>
          </w:tcPr>
          <w:p>
            <w:r/>
            <w:r>
              <w:rPr>
                <w:sz w:val="19"/>
              </w:rPr>
              <w:t>jahr=2100&amp;monat=12</w:t>
            </w:r>
          </w:p>
        </w:tc>
        <w:tc>
          <w:tcPr>
            <w:tcW w:type="dxa" w:w="1584"/>
          </w:tcPr>
          <w:p>
            <w:r/>
            <w:r>
              <w:rPr>
                <w:sz w:val="19"/>
              </w:rPr>
              <w:t>ok (2100,12)</w:t>
            </w:r>
          </w:p>
        </w:tc>
        <w:tc>
          <w:tcPr>
            <w:tcW w:type="dxa" w:w="3744"/>
          </w:tcPr>
          <w:p>
            <w:r/>
            <w:r>
              <w:rPr>
                <w:sz w:val="19"/>
              </w:rPr>
              <w:t>obere Grenze gültig</w:t>
            </w:r>
          </w:p>
        </w:tc>
      </w:tr>
    </w:tbl>
    <w:p>
      <w:pPr>
        <w:pStyle w:val="Heading1"/>
      </w:pPr>
      <w:r>
        <w:rPr>
          <w:color w:val="1F4E79"/>
        </w:rPr>
        <w:t>6. Durchführung und Ergebnis</w:t>
      </w:r>
    </w:p>
    <w:p>
      <w:r>
        <w:rPr>
          <w:b w:val="0"/>
          <w:i w:val="0"/>
        </w:rPr>
        <w:t>Ausführung mit 'go test -v' und Coverage-Profil (Befehl: make coverage). Ergebnis: 24 Testfälle, alle PASS, 0 Fehler. Per-Funktions-Coverage der gewählten Komponente (go tool cover -func):</w:t>
      </w:r>
    </w:p>
    <w:tbl>
      <w:tblPr>
        <w:tblStyle w:val="LightGrid-Accent1"/>
        <w:tblW w:type="auto" w:w="0"/>
        <w:jc w:val="center"/>
        <w:tblLook w:firstColumn="1" w:firstRow="1" w:lastColumn="0" w:lastRow="0" w:noHBand="0" w:noVBand="1" w:val="04A0"/>
      </w:tblPr>
      <w:tblGrid>
        <w:gridCol w:w="4320"/>
        <w:gridCol w:w="4320"/>
      </w:tblGrid>
      <w:tr>
        <w:tc>
          <w:tcPr>
            <w:tcW w:type="dxa" w:w="3744"/>
          </w:tcPr>
          <w:p>
            <w:r/>
            <w:r>
              <w:rPr>
                <w:b/>
                <w:sz w:val="20"/>
              </w:rPr>
              <w:t>Funktion</w:t>
            </w:r>
          </w:p>
        </w:tc>
        <w:tc>
          <w:tcPr>
            <w:tcW w:type="dxa" w:w="4320"/>
          </w:tcPr>
          <w:p>
            <w:r/>
            <w:r>
              <w:rPr>
                <w:b/>
                <w:sz w:val="20"/>
              </w:rPr>
              <w:t>Coverage</w:t>
            </w:r>
          </w:p>
        </w:tc>
      </w:tr>
      <w:tr>
        <w:tc>
          <w:tcPr>
            <w:tcW w:type="dxa" w:w="3744"/>
          </w:tcPr>
          <w:p>
            <w:r/>
            <w:r>
              <w:rPr>
                <w:sz w:val="19"/>
              </w:rPr>
              <w:t>monthBounds</w:t>
            </w:r>
          </w:p>
        </w:tc>
        <w:tc>
          <w:tcPr>
            <w:tcW w:type="dxa" w:w="4320"/>
          </w:tcPr>
          <w:p>
            <w:r/>
            <w:r>
              <w:rPr>
                <w:sz w:val="19"/>
              </w:rPr>
              <w:t>100,0 %</w:t>
            </w:r>
          </w:p>
        </w:tc>
      </w:tr>
      <w:tr>
        <w:tc>
          <w:tcPr>
            <w:tcW w:type="dxa" w:w="3744"/>
          </w:tcPr>
          <w:p>
            <w:r/>
            <w:r>
              <w:rPr>
                <w:sz w:val="19"/>
              </w:rPr>
              <w:t>countWeekdays</w:t>
            </w:r>
          </w:p>
        </w:tc>
        <w:tc>
          <w:tcPr>
            <w:tcW w:type="dxa" w:w="4320"/>
          </w:tcPr>
          <w:p>
            <w:r/>
            <w:r>
              <w:rPr>
                <w:sz w:val="19"/>
              </w:rPr>
              <w:t>100,0 %</w:t>
            </w:r>
          </w:p>
        </w:tc>
      </w:tr>
      <w:tr>
        <w:tc>
          <w:tcPr>
            <w:tcW w:type="dxa" w:w="3744"/>
          </w:tcPr>
          <w:p>
            <w:r/>
            <w:r>
              <w:rPr>
                <w:sz w:val="19"/>
              </w:rPr>
              <w:t>creditedWorkdays</w:t>
            </w:r>
          </w:p>
        </w:tc>
        <w:tc>
          <w:tcPr>
            <w:tcW w:type="dxa" w:w="4320"/>
          </w:tcPr>
          <w:p>
            <w:r/>
            <w:r>
              <w:rPr>
                <w:sz w:val="19"/>
              </w:rPr>
              <w:t>100,0 %</w:t>
            </w:r>
          </w:p>
        </w:tc>
      </w:tr>
      <w:tr>
        <w:tc>
          <w:tcPr>
            <w:tcW w:type="dxa" w:w="3744"/>
          </w:tcPr>
          <w:p>
            <w:r/>
            <w:r>
              <w:rPr>
                <w:sz w:val="19"/>
              </w:rPr>
              <w:t>sollMinuten</w:t>
            </w:r>
          </w:p>
        </w:tc>
        <w:tc>
          <w:tcPr>
            <w:tcW w:type="dxa" w:w="4320"/>
          </w:tcPr>
          <w:p>
            <w:r/>
            <w:r>
              <w:rPr>
                <w:sz w:val="19"/>
              </w:rPr>
              <w:t>100,0 %</w:t>
            </w:r>
          </w:p>
        </w:tc>
      </w:tr>
      <w:tr>
        <w:tc>
          <w:tcPr>
            <w:tcW w:type="dxa" w:w="3744"/>
          </w:tcPr>
          <w:p>
            <w:r/>
            <w:r>
              <w:rPr>
                <w:sz w:val="19"/>
              </w:rPr>
              <w:t>parseMonat</w:t>
            </w:r>
          </w:p>
        </w:tc>
        <w:tc>
          <w:tcPr>
            <w:tcW w:type="dxa" w:w="4320"/>
          </w:tcPr>
          <w:p>
            <w:r/>
            <w:r>
              <w:rPr>
                <w:sz w:val="19"/>
              </w:rPr>
              <w:t>100,0 %</w:t>
            </w:r>
          </w:p>
        </w:tc>
      </w:tr>
      <w:tr>
        <w:tc>
          <w:tcPr>
            <w:tcW w:type="dxa" w:w="3744"/>
          </w:tcPr>
          <w:p>
            <w:r/>
            <w:r>
              <w:rPr>
                <w:sz w:val="19"/>
              </w:rPr>
              <w:t>computeUeberstunden</w:t>
            </w:r>
          </w:p>
        </w:tc>
        <w:tc>
          <w:tcPr>
            <w:tcW w:type="dxa" w:w="4320"/>
          </w:tcPr>
          <w:p>
            <w:r/>
            <w:r>
              <w:rPr>
                <w:sz w:val="19"/>
              </w:rPr>
              <w:t>85,7 % (1 unerreichbarer Defensiv-Zweig)</w:t>
            </w:r>
          </w:p>
        </w:tc>
      </w:tr>
    </w:tbl>
    <w:p/>
    <w:p>
      <w:r>
        <w:rPr>
          <w:b w:val="0"/>
          <w:i w:val="0"/>
        </w:rPr>
        <w:t>Der vollständige Durchführungsbericht (go test -v inkl. aller PASS-Zeilen) liegt als Textexport bei: docs/testing/durchfuehrungsbericht.txt. Der visuelle Coverage-Nachweis (jeder Block der Zielfunktionen grün) liegt als backend/coverage.html bei.</w:t>
      </w:r>
    </w:p>
    <w:p/>
    <w:p>
      <w:pPr>
        <w:jc w:val="center"/>
      </w:pPr>
      <w:r>
        <w:drawing>
          <wp:inline xmlns:a="http://schemas.openxmlformats.org/drawingml/2006/main" xmlns:pic="http://schemas.openxmlformats.org/drawingml/2006/picture">
            <wp:extent cx="5760720" cy="2298136"/>
            <wp:docPr id="3" name="Picture 3"/>
            <wp:cNvGraphicFramePr>
              <a:graphicFrameLocks noChangeAspect="1"/>
            </wp:cNvGraphicFramePr>
            <a:graphic>
              <a:graphicData uri="http://schemas.openxmlformats.org/drawingml/2006/picture">
                <pic:pic>
                  <pic:nvPicPr>
                    <pic:cNvPr id="0" name="Coverage.png"/>
                    <pic:cNvPicPr/>
                  </pic:nvPicPr>
                  <pic:blipFill>
                    <a:blip r:embed="rId11"/>
                    <a:stretch>
                      <a:fillRect/>
                    </a:stretch>
                  </pic:blipFill>
                  <pic:spPr>
                    <a:xfrm>
                      <a:off x="0" y="0"/>
                      <a:ext cx="5760720" cy="2298136"/>
                    </a:xfrm>
                    <a:prstGeom prst="rect"/>
                  </pic:spPr>
                </pic:pic>
              </a:graphicData>
            </a:graphic>
          </wp:inline>
        </w:drawing>
      </w:r>
    </w:p>
    <w:p>
      <w:pPr>
        <w:jc w:val="center"/>
      </w:pPr>
      <w:r>
        <w:rPr>
          <w:i/>
          <w:sz w:val="18"/>
        </w:rPr>
        <w:t>Abb. 3: SonarQube – Coverage-Ansicht der Datei ueberstunden.go.</w:t>
      </w:r>
    </w:p>
    <w:p>
      <w:r>
        <w:rPr>
          <w:b w:val="0"/>
          <w:i/>
        </w:rPr>
        <w:t>Hinweis: Go erzeugt ein zeilen-/statementbasiertes Coverage-Profil; SonarQube zeigt daraus Line Coverage (41,6 % für die ganze Datei, da diese zusätzlich zwei nicht getestete DB-Handler enthält). Die geforderte Entscheidungsüberdeckung der Komponente wird über die Testfall→Zweig-Matrix (Kap. 5) und coverage.html belegt.</w:t>
      </w:r>
    </w:p>
    <w:p>
      <w:pPr>
        <w:pStyle w:val="Heading1"/>
      </w:pPr>
      <w:r>
        <w:rPr>
          <w:color w:val="1F4E79"/>
        </w:rPr>
        <w:t>7. Code-Quality-Findings</w:t>
      </w:r>
    </w:p>
    <w:p>
      <w:r>
        <w:rPr>
          <w:b w:val="0"/>
          <w:i w:val="0"/>
        </w:rPr>
        <w:t>SonarQube meldet 0 Bugs, 0 Vulnerabilities und 7 Maintainability-Findings (Code Smells):</w:t>
      </w:r>
    </w:p>
    <w:tbl>
      <w:tblPr>
        <w:tblStyle w:val="LightGrid-Accent1"/>
        <w:tblW w:type="auto" w:w="0"/>
        <w:jc w:val="center"/>
        <w:tblLook w:firstColumn="1" w:firstRow="1" w:lastColumn="0" w:lastRow="0" w:noHBand="0" w:noVBand="1" w:val="04A0"/>
      </w:tblPr>
      <w:tblGrid>
        <w:gridCol w:w="2880"/>
        <w:gridCol w:w="2880"/>
        <w:gridCol w:w="2880"/>
      </w:tblGrid>
      <w:tr>
        <w:tc>
          <w:tcPr>
            <w:tcW w:type="dxa" w:w="2448"/>
          </w:tcPr>
          <w:p>
            <w:r/>
            <w:r>
              <w:rPr>
                <w:b/>
                <w:sz w:val="20"/>
              </w:rPr>
              <w:t>Datei:Zeile</w:t>
            </w:r>
          </w:p>
        </w:tc>
        <w:tc>
          <w:tcPr>
            <w:tcW w:type="dxa" w:w="1440"/>
          </w:tcPr>
          <w:p>
            <w:r/>
            <w:r>
              <w:rPr>
                <w:b/>
                <w:sz w:val="20"/>
              </w:rPr>
              <w:t>Regel</w:t>
            </w:r>
          </w:p>
        </w:tc>
        <w:tc>
          <w:tcPr>
            <w:tcW w:type="dxa" w:w="5616"/>
          </w:tcPr>
          <w:p>
            <w:r/>
            <w:r>
              <w:rPr>
                <w:b/>
                <w:sz w:val="20"/>
              </w:rPr>
              <w:t>Befund</w:t>
            </w:r>
          </w:p>
        </w:tc>
      </w:tr>
      <w:tr>
        <w:tc>
          <w:tcPr>
            <w:tcW w:type="dxa" w:w="2448"/>
          </w:tcPr>
          <w:p>
            <w:r/>
            <w:r>
              <w:rPr>
                <w:sz w:val="19"/>
              </w:rPr>
              <w:t>zeitbuchung.go:248</w:t>
            </w:r>
          </w:p>
        </w:tc>
        <w:tc>
          <w:tcPr>
            <w:tcW w:type="dxa" w:w="1440"/>
          </w:tcPr>
          <w:p>
            <w:r/>
            <w:r>
              <w:rPr>
                <w:sz w:val="19"/>
              </w:rPr>
              <w:t>go:S3776</w:t>
            </w:r>
          </w:p>
        </w:tc>
        <w:tc>
          <w:tcPr>
            <w:tcW w:type="dxa" w:w="5616"/>
          </w:tcPr>
          <w:p>
            <w:r/>
            <w:r>
              <w:rPr>
                <w:sz w:val="19"/>
              </w:rPr>
              <w:t>handlePatchZeit: Cognitive Complexity 18 &gt; 15</w:t>
            </w:r>
          </w:p>
        </w:tc>
      </w:tr>
      <w:tr>
        <w:tc>
          <w:tcPr>
            <w:tcW w:type="dxa" w:w="2448"/>
          </w:tcPr>
          <w:p>
            <w:r/>
            <w:r>
              <w:rPr>
                <w:sz w:val="19"/>
              </w:rPr>
              <w:t>bericht.go:30</w:t>
            </w:r>
          </w:p>
        </w:tc>
        <w:tc>
          <w:tcPr>
            <w:tcW w:type="dxa" w:w="1440"/>
          </w:tcPr>
          <w:p>
            <w:r/>
            <w:r>
              <w:rPr>
                <w:sz w:val="19"/>
              </w:rPr>
              <w:t>go:S3776</w:t>
            </w:r>
          </w:p>
        </w:tc>
        <w:tc>
          <w:tcPr>
            <w:tcW w:type="dxa" w:w="5616"/>
          </w:tcPr>
          <w:p>
            <w:r/>
            <w:r>
              <w:rPr>
                <w:sz w:val="19"/>
              </w:rPr>
              <w:t>Methode: Cognitive Complexity 19 &gt; 15</w:t>
            </w:r>
          </w:p>
        </w:tc>
      </w:tr>
      <w:tr>
        <w:tc>
          <w:tcPr>
            <w:tcW w:type="dxa" w:w="2448"/>
          </w:tcPr>
          <w:p>
            <w:r/>
            <w:r>
              <w:rPr>
                <w:sz w:val="19"/>
              </w:rPr>
              <w:t>dokument.go:46</w:t>
            </w:r>
          </w:p>
        </w:tc>
        <w:tc>
          <w:tcPr>
            <w:tcW w:type="dxa" w:w="1440"/>
          </w:tcPr>
          <w:p>
            <w:r/>
            <w:r>
              <w:rPr>
                <w:sz w:val="19"/>
              </w:rPr>
              <w:t>go:S3776</w:t>
            </w:r>
          </w:p>
        </w:tc>
        <w:tc>
          <w:tcPr>
            <w:tcW w:type="dxa" w:w="5616"/>
          </w:tcPr>
          <w:p>
            <w:r/>
            <w:r>
              <w:rPr>
                <w:sz w:val="19"/>
              </w:rPr>
              <w:t>Methode: Cognitive Complexity 19 &gt; 15</w:t>
            </w:r>
          </w:p>
        </w:tc>
      </w:tr>
      <w:tr>
        <w:tc>
          <w:tcPr>
            <w:tcW w:type="dxa" w:w="2448"/>
          </w:tcPr>
          <w:p>
            <w:r/>
            <w:r>
              <w:rPr>
                <w:sz w:val="19"/>
              </w:rPr>
              <w:t>ueberstunden.go:101</w:t>
            </w:r>
          </w:p>
        </w:tc>
        <w:tc>
          <w:tcPr>
            <w:tcW w:type="dxa" w:w="1440"/>
          </w:tcPr>
          <w:p>
            <w:r/>
            <w:r>
              <w:rPr>
                <w:sz w:val="19"/>
              </w:rPr>
              <w:t>go:S107</w:t>
            </w:r>
          </w:p>
        </w:tc>
        <w:tc>
          <w:tcPr>
            <w:tcW w:type="dxa" w:w="5616"/>
          </w:tcPr>
          <w:p>
            <w:r/>
            <w:r>
              <w:rPr>
                <w:sz w:val="19"/>
              </w:rPr>
              <w:t>computeUeberstunden: 9 Parameter &gt; 7</w:t>
            </w:r>
          </w:p>
        </w:tc>
      </w:tr>
      <w:tr>
        <w:tc>
          <w:tcPr>
            <w:tcW w:type="dxa" w:w="2448"/>
          </w:tcPr>
          <w:p>
            <w:r/>
            <w:r>
              <w:rPr>
                <w:sz w:val="19"/>
              </w:rPr>
              <w:t>zeitbuchung.go:40</w:t>
            </w:r>
          </w:p>
        </w:tc>
        <w:tc>
          <w:tcPr>
            <w:tcW w:type="dxa" w:w="1440"/>
          </w:tcPr>
          <w:p>
            <w:r/>
            <w:r>
              <w:rPr>
                <w:sz w:val="19"/>
              </w:rPr>
              <w:t>go:S1192</w:t>
            </w:r>
          </w:p>
        </w:tc>
        <w:tc>
          <w:tcPr>
            <w:tcW w:type="dxa" w:w="5616"/>
          </w:tcPr>
          <w:p>
            <w:r/>
            <w:r>
              <w:rPr>
                <w:sz w:val="19"/>
              </w:rPr>
              <w:t>dupliziertes Literal "end_zeit muss nach start_zeit liegen." (3×)</w:t>
            </w:r>
          </w:p>
        </w:tc>
      </w:tr>
      <w:tr>
        <w:tc>
          <w:tcPr>
            <w:tcW w:type="dxa" w:w="2448"/>
          </w:tcPr>
          <w:p>
            <w:r/>
            <w:r>
              <w:rPr>
                <w:sz w:val="19"/>
              </w:rPr>
              <w:t>arbeiter.go:125</w:t>
            </w:r>
          </w:p>
        </w:tc>
        <w:tc>
          <w:tcPr>
            <w:tcW w:type="dxa" w:w="1440"/>
          </w:tcPr>
          <w:p>
            <w:r/>
            <w:r>
              <w:rPr>
                <w:sz w:val="19"/>
              </w:rPr>
              <w:t>go:S1192</w:t>
            </w:r>
          </w:p>
        </w:tc>
        <w:tc>
          <w:tcPr>
            <w:tcW w:type="dxa" w:w="5616"/>
          </w:tcPr>
          <w:p>
            <w:r/>
            <w:r>
              <w:rPr>
                <w:sz w:val="19"/>
              </w:rPr>
              <w:t>dupliziertes Literal "Arbeiter nicht gefunden." (3×)</w:t>
            </w:r>
          </w:p>
        </w:tc>
      </w:tr>
      <w:tr>
        <w:tc>
          <w:tcPr>
            <w:tcW w:type="dxa" w:w="2448"/>
          </w:tcPr>
          <w:p>
            <w:r/>
            <w:r>
              <w:rPr>
                <w:sz w:val="19"/>
              </w:rPr>
              <w:t>baustelle.go:92</w:t>
            </w:r>
          </w:p>
        </w:tc>
        <w:tc>
          <w:tcPr>
            <w:tcW w:type="dxa" w:w="1440"/>
          </w:tcPr>
          <w:p>
            <w:r/>
            <w:r>
              <w:rPr>
                <w:sz w:val="19"/>
              </w:rPr>
              <w:t>go:S1192</w:t>
            </w:r>
          </w:p>
        </w:tc>
        <w:tc>
          <w:tcPr>
            <w:tcW w:type="dxa" w:w="5616"/>
          </w:tcPr>
          <w:p>
            <w:r/>
            <w:r>
              <w:rPr>
                <w:sz w:val="19"/>
              </w:rPr>
              <w:t>dupliziertes Literal "Baustelle nicht gefunden." (3×)</w:t>
            </w:r>
          </w:p>
        </w:tc>
      </w:tr>
    </w:tbl>
    <w:p/>
    <w:p>
      <w:r>
        <w:rPr>
          <w:b w:val="0"/>
          <w:i w:val="0"/>
        </w:rPr>
        <w:t>Alle Findings betreffen die Wartbarkeit (keine Bugs/Sicherheitslücken). Empfehlung: Fehlermeldungs-Literale als Konstanten zentralisieren und die drei komplexesten Handler in Hilfsfunktionen aufteilen.</w:t>
      </w:r>
    </w:p>
    <w:p>
      <w:pPr>
        <w:pStyle w:val="Heading1"/>
      </w:pPr>
      <w:r>
        <w:rPr>
          <w:color w:val="1F4E79"/>
        </w:rPr>
        <w:t>8. Abgabe-Artefakte</w:t>
      </w:r>
    </w:p>
    <w:p>
      <w:r>
        <w:rPr>
          <w:b w:val="0"/>
          <w:i w:val="0"/>
        </w:rPr>
        <w:t>Alle Artefakte liegen im Repository unter docs/testing/ bzw. backend/:</w:t>
      </w:r>
    </w:p>
    <w:tbl>
      <w:tblPr>
        <w:tblStyle w:val="LightGrid-Accent1"/>
        <w:tblW w:type="auto" w:w="0"/>
        <w:jc w:val="center"/>
        <w:tblLook w:firstColumn="1" w:firstRow="1" w:lastColumn="0" w:lastRow="0" w:noHBand="0" w:noVBand="1" w:val="04A0"/>
      </w:tblPr>
      <w:tblGrid>
        <w:gridCol w:w="4320"/>
        <w:gridCol w:w="4320"/>
      </w:tblGrid>
      <w:tr>
        <w:tc>
          <w:tcPr>
            <w:tcW w:type="dxa" w:w="3744"/>
          </w:tcPr>
          <w:p>
            <w:r/>
            <w:r>
              <w:rPr>
                <w:b/>
                <w:sz w:val="20"/>
              </w:rPr>
              <w:t>Artefakt</w:t>
            </w:r>
          </w:p>
        </w:tc>
        <w:tc>
          <w:tcPr>
            <w:tcW w:type="dxa" w:w="5760"/>
          </w:tcPr>
          <w:p>
            <w:r/>
            <w:r>
              <w:rPr>
                <w:b/>
                <w:sz w:val="20"/>
              </w:rPr>
              <w:t>Pfad</w:t>
            </w:r>
          </w:p>
        </w:tc>
      </w:tr>
      <w:tr>
        <w:tc>
          <w:tcPr>
            <w:tcW w:type="dxa" w:w="3744"/>
          </w:tcPr>
          <w:p>
            <w:r/>
            <w:r>
              <w:rPr>
                <w:sz w:val="19"/>
              </w:rPr>
              <w:t>Unittests (Quellcode)</w:t>
            </w:r>
          </w:p>
        </w:tc>
        <w:tc>
          <w:tcPr>
            <w:tcW w:type="dxa" w:w="5760"/>
          </w:tcPr>
          <w:p>
            <w:r/>
            <w:r>
              <w:rPr>
                <w:sz w:val="19"/>
              </w:rPr>
              <w:t>backend/internal/server/ueberstunden_test.go</w:t>
            </w:r>
          </w:p>
        </w:tc>
      </w:tr>
      <w:tr>
        <w:tc>
          <w:tcPr>
            <w:tcW w:type="dxa" w:w="3744"/>
          </w:tcPr>
          <w:p>
            <w:r/>
            <w:r>
              <w:rPr>
                <w:sz w:val="19"/>
              </w:rPr>
              <w:t>Testfälle (Tabelle)</w:t>
            </w:r>
          </w:p>
        </w:tc>
        <w:tc>
          <w:tcPr>
            <w:tcW w:type="dxa" w:w="5760"/>
          </w:tcPr>
          <w:p>
            <w:r/>
            <w:r>
              <w:rPr>
                <w:sz w:val="19"/>
              </w:rPr>
              <w:t>docs/testing/testfaelle.md</w:t>
            </w:r>
          </w:p>
        </w:tc>
      </w:tr>
      <w:tr>
        <w:tc>
          <w:tcPr>
            <w:tcW w:type="dxa" w:w="3744"/>
          </w:tcPr>
          <w:p>
            <w:r/>
            <w:r>
              <w:rPr>
                <w:sz w:val="19"/>
              </w:rPr>
              <w:t>Durchführungsbericht (Text)</w:t>
            </w:r>
          </w:p>
        </w:tc>
        <w:tc>
          <w:tcPr>
            <w:tcW w:type="dxa" w:w="5760"/>
          </w:tcPr>
          <w:p>
            <w:r/>
            <w:r>
              <w:rPr>
                <w:sz w:val="19"/>
              </w:rPr>
              <w:t>docs/testing/durchfuehrungsbericht.txt</w:t>
            </w:r>
          </w:p>
        </w:tc>
      </w:tr>
      <w:tr>
        <w:tc>
          <w:tcPr>
            <w:tcW w:type="dxa" w:w="3744"/>
          </w:tcPr>
          <w:p>
            <w:r/>
            <w:r>
              <w:rPr>
                <w:sz w:val="19"/>
              </w:rPr>
              <w:t>Coverage-Profil / HTML</w:t>
            </w:r>
          </w:p>
        </w:tc>
        <w:tc>
          <w:tcPr>
            <w:tcW w:type="dxa" w:w="5760"/>
          </w:tcPr>
          <w:p>
            <w:r/>
            <w:r>
              <w:rPr>
                <w:sz w:val="19"/>
              </w:rPr>
              <w:t>backend/coverage.out / backend/coverage.html</w:t>
            </w:r>
          </w:p>
        </w:tc>
      </w:tr>
      <w:tr>
        <w:tc>
          <w:tcPr>
            <w:tcW w:type="dxa" w:w="3744"/>
          </w:tcPr>
          <w:p>
            <w:r/>
            <w:r>
              <w:rPr>
                <w:sz w:val="19"/>
              </w:rPr>
              <w:t>Test-Report (für SonarQube)</w:t>
            </w:r>
          </w:p>
        </w:tc>
        <w:tc>
          <w:tcPr>
            <w:tcW w:type="dxa" w:w="5760"/>
          </w:tcPr>
          <w:p>
            <w:r/>
            <w:r>
              <w:rPr>
                <w:sz w:val="19"/>
              </w:rPr>
              <w:t>backend/test-report.json</w:t>
            </w:r>
          </w:p>
        </w:tc>
      </w:tr>
      <w:tr>
        <w:tc>
          <w:tcPr>
            <w:tcW w:type="dxa" w:w="3744"/>
          </w:tcPr>
          <w:p>
            <w:r/>
            <w:r>
              <w:rPr>
                <w:sz w:val="19"/>
              </w:rPr>
              <w:t>Code-Quality-Bericht</w:t>
            </w:r>
          </w:p>
        </w:tc>
        <w:tc>
          <w:tcPr>
            <w:tcW w:type="dxa" w:w="5760"/>
          </w:tcPr>
          <w:p>
            <w:r/>
            <w:r>
              <w:rPr>
                <w:sz w:val="19"/>
              </w:rPr>
              <w:t>docs/testing/codequality-bericht.md</w:t>
            </w:r>
          </w:p>
        </w:tc>
      </w:tr>
      <w:tr>
        <w:tc>
          <w:tcPr>
            <w:tcW w:type="dxa" w:w="3744"/>
          </w:tcPr>
          <w:p>
            <w:r/>
            <w:r>
              <w:rPr>
                <w:sz w:val="19"/>
              </w:rPr>
              <w:t>SonarQube-Metriken/Issues (Export)</w:t>
            </w:r>
          </w:p>
        </w:tc>
        <w:tc>
          <w:tcPr>
            <w:tcW w:type="dxa" w:w="5760"/>
          </w:tcPr>
          <w:p>
            <w:r/>
            <w:r>
              <w:rPr>
                <w:sz w:val="19"/>
              </w:rPr>
              <w:t>docs/testing/sonarqube-*.json</w:t>
            </w:r>
          </w:p>
        </w:tc>
      </w:tr>
      <w:tr>
        <w:tc>
          <w:tcPr>
            <w:tcW w:type="dxa" w:w="3744"/>
          </w:tcPr>
          <w:p>
            <w:r/>
            <w:r>
              <w:rPr>
                <w:sz w:val="19"/>
              </w:rPr>
              <w:t>SonarQube-Screenshots</w:t>
            </w:r>
          </w:p>
        </w:tc>
        <w:tc>
          <w:tcPr>
            <w:tcW w:type="dxa" w:w="5760"/>
          </w:tcPr>
          <w:p>
            <w:r/>
            <w:r>
              <w:rPr>
                <w:sz w:val="19"/>
              </w:rPr>
              <w:t>docs/testing/Overview.png, Measures.png, Coverage.png</w:t>
            </w:r>
          </w:p>
        </w:tc>
      </w:tr>
      <w:tr>
        <w:tc>
          <w:tcPr>
            <w:tcW w:type="dxa" w:w="3744"/>
          </w:tcPr>
          <w:p>
            <w:r/>
            <w:r>
              <w:rPr>
                <w:sz w:val="19"/>
              </w:rPr>
              <w:t>Testplanung</w:t>
            </w:r>
          </w:p>
        </w:tc>
        <w:tc>
          <w:tcPr>
            <w:tcW w:type="dxa" w:w="5760"/>
          </w:tcPr>
          <w:p>
            <w:r/>
            <w:r>
              <w:rPr>
                <w:sz w:val="19"/>
              </w:rPr>
              <w:t>docs/testing/testplanung.md</w:t>
            </w:r>
          </w:p>
        </w:tc>
      </w:tr>
    </w:tbl>
    <w:p/>
    <w:p>
      <w:r>
        <w:rPr>
          <w:b w:val="0"/>
          <w:i/>
        </w:rPr>
        <w:t>Reproduktion: 'docker start sonarqube' → 'make coverage' (Tests + Berichte) → 'make sonar TOKEN=&lt;analysis-token&gt;' (SonarQube-Scan unter http://localhost:9000).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