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Miguel Sánchez Tlacatecuhtli of Santa María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Asunción Amantlan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mother, the heavenly lady Holy Mary, eternally virgin,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 all who see this document that I, Miguel Sánchez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Tlacatecuhtli, whose home is here in Culhuacan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ward of Amantlan, even though I am sick, nonetheless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 spirit and understanding are healthy. I truly believe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our lord Jesus Christ, and for this reason with invoca-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tion and supplication to him I make my testament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First I declare that I am giving my spirit and soul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God our lord because he made it and came to redeem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here on earth. And my body I give to the earth because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earth it came.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And I declare that I have two houses, where I used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be, which face east, with their houselot of 20 (units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measure) on all sides. And I give all of it to my child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Gerónimo Chachalaca.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And I have a purchased house which stands in Tian-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quiztenco (beside the marketplace?). I gave (paid) three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pesos to my older sister María for it. It is just the house,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without its land. And I give it to my child Gerónimo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Chachalaca.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Also there are 10 chinampas of mine in Quaxochtenco.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I give them to my child Gerónimo.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And there is a chinampa of mine in Tlacatecco of 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(units) in length, next to the field of Gabriel de San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Francisco. And I give it to my child Gerónimo.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And there are three chinampas of mine, of three (rows)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each, in Atlimopilohuayan (where there is a cascade).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I give them to my niece Petronilla.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