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María, widow, of Santa María Magdalena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Cihuatecpan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God the Father, God the Son, and God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Holy Spirit, just one true God in whom I believe,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 my testament. Know all who see this document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I order my testament that I, María, widow, whose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husband was Francisco Quauhtli, and whose home 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in Santa María Magdalena Cihuatecpan, first place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spirit and soul entirely in the hands of our lord God,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because it is his creation; when I die, let him come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it, and let him forgive me all my sins. And I declare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 I keep no property for God our lord (I have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goods) with which to make an offering, and let all 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(close relatives) who see and hear my testament know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To begin my statement, I declare that our house which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 late husband, named Martín Huitzilcoatl, and I,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named María, built is to be sold. Here is what worried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 and what my late husband Martín Huitzilcoatl and 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have done wrong: we borrowed four tomines in money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belonging to the ward heads and they have not been paid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back yet. And my late second husband named Francisco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Quauhtli and I borrowed a peso belonging to the ward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heads so that we could leave jail when we were both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imprisoned, with which it comes to one peso and five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(sic) tomines. And one tomín and a half belongs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Agustín Xiuhtzin; it will also be paid back. Here 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something else I declare: I don't know about something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bad that my late husband named Francisco Quauhtli did: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 left a peso and four tomines unpaid. And now I say,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someone go and inform my stepchild named Gaspar;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him pay the peso and four tomines. Let him aid his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father and his mother, since they were the ones who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borrowed it. And when they went and informed him 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what she said, he immediately replied “Very well, let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 pay it for my father and my mother if our lord God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gives me life, /f. 50r/ for I am sick too.” Thus said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Gaspar, with which he and his stepmother came 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agreement, and when she heard what he had said, his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stepmother was very reassured. And now I, the invalid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María, declare concerning our house that I said is to be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sold, that we both built, my first husband and I, that with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proceeds in money will be paid the debt mentioned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above, our loan of one peso, five tomines. And of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level land, only six matl of it, on which the house stands,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toward the road, my late husband himself gave one matl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the mother of Agustín Teixpantzin. And with all that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remains from the proceeds in money from the house, let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them say masses for me. This is all I declare in my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testament. Let the house be sold promptly, and let 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 violate my testament.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Done before those who heard and are named here: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ward heads and witnesses Martín González, tepixqui;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Pablo Gerónimo; Miguel Huantli, topile; Tomás Xochi-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hua Itzcuintzontecon; Andrés Tepal; Martín Axcan Cal-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pilcatzintli(?); and the women who heard, the first named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Juana, wife of Juan Cuetli; Bárbara, wife of Andrés Te-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pal; Luisa, wife of Agustín Teixpantzin; Juana, wife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Andrés Xochicoatl.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Done before the executors, Miguel García, Martín 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Santiago, Antón Jacobo, (and?) Juan (de San) Pedro. I,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whose name is mentioned just above, wrote it. Here we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place our names and signatures. This testament was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done Thursday the 25th of August of the year 1580.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Miguel García. Done before me, Juan (de San)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Pedro, appointed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