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Memorandum concerning Miguel Cerón Te-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quanqualoc of the ward of (Santa) María Magdalena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Tezcacoac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First he declared: I begin my statement. My houses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I have been are three; the “woman's house” which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faces west and forms the front of the house; the second,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attached to the first, which also faces west, and the third,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which faces toward Xochimilco, just a small house. 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assign it to my wife; all of it will belong to her, named</w:t>
        <w:br w:type="textWrapping"/>
        <w:t xml:space="preserve">Juana Xoxopanxoco. There she is to be in charge of my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children, since it is their property and their house. Let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one take it from them.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And I am also giving the land here at the edge of the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water that belongs to the house, three chinampas that are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just small, not long, to my wife and children. From 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they are to get tender ears of maize, or perhaps they will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build something there. They will decide. I give it com-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pletely to them as their property. Let no one take it from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And I declare that there is a house of mine in Tianquiz-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tenco which faces east. It is to be sold, and the proceeds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will belong to me; when I die, it will be spent on 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And there are seven chinampas of mine on which we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(pay tribute). I give them to my wife, who is to cultivate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them, because she has children. No one is to take them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her. She knows that she will give (the chinampas)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 them when she dies.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And there are two chinampas of mine in Acalotenco,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(at the edge of the canal?) each one 20 (units of measure)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long, next to the field of Francisco Cihuatecpanecatl,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regidor mayor. I give them to my children, who are 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cultivate them.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And in the place named Cueptecco there is the in-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heritance of the boy named Joaquín Centecpantli. (They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are) the chinampas that don Juan Téllez (Documents 13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13A), whose home was Tianquiztenco, gave him.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Let no one take them from him, because they are the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inheritance of the boy. (They are) next to the fields of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Gabriel Maldonado and Juan Otlicahuetztoc.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And I declare that in the place called Tocititlan there 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dry land that was given me, 70 (units of measure) 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length and 20 in width. It is “ruler's (office) land” and 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was given me by means of justice. And I declare that 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divide it into two parts; I give 40 to my wife 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children, and 30 will belong to me. It is to be sold, and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with the proceeds masses will be said for me. Let no 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violate my final will on the verge of my death.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This is all the invalid named Miguel Cerón Tequan-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qualoc said in his declaration before the women Maria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Xoco, wife of don Juan García Tlacochcalcatl tecuhtli,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and Juana Xoco, wife of the invalid.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Done before the executors Gabriel Maldonado, Martín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 Santiago, and Antón Jacobo, alguaciles, and by order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of don Francisco Flores, alcalde, and Miguel de Ribas,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alguacil mayor. I, Juan de San Pedro, notary, wrote it.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Here I place my name and signature. Done the 5th of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August of the year 1580.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Juan de San Pedro, notary.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