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 Martin Macuil knows about the two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chickens I paid him for; he is to give me my money 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that it will be spent for me. And there are 13 grown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turkey hens (European chickens?). They will belong 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father. They will be divided; the part to belong 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him will be five (turkey hens), and three will belong 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 aunt; and three will belong to my elder brother,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also three will belong to me (sic, making 14).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And there are 30 (heaps of) firewood and two poles,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a lintel of a door, and three planks, and three (stones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for?) a house foundation, which are the property of Juan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Chocani. And they are to be sold for a mass for him.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three metates that belong to Juan Chocani and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metate of mine are to be sold toward a mass.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This is all the invalid declared in (his?/her?) statement.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(Done) before the witnesses don Juan García Tlacoch-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calcatzintli; Miguel Téllez, alcaide; Pedro (Gutiérrez)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Matlalatl; Pedro de (Pervino?); Pedro Moysén Tezca-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coacatl; Juan Bautista Xalli; and Gabriel. And done be-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fore the women: Ana Tiacapan; Ana, widow of Miguel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Cerón Cozcaquauh; Juana Xoco, wife of Miguel Téllez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Yaotl; María Xoco, unmarried woman; Juana Tiacapan,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wife of Gabriel; and also done before María Tlaco, wife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of don Juan García Tlacochcalcatl.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Done before the executors Gabriel Maldonado and don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Alonso de Santiago, appointed notary, and Diego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Sánchez, church attendant (and?) topile; and Antonio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Jacobo, alguaciles. I wrote it, Juan de San Pedro, notary,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I place here my name and signature. Done the 2nd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of August of the year 1580.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Juan de San Pedro, appointed notary.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