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Fernando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2493 S View Pkwy</w:t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Phoenix, AZ 85016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928-446-2569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>fernandoz@fernandoz.com</w:t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