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1F4E79" w:val="clear"/>
            <w:tcMar>
              <w:top w:type="dxa" w:w="160"/>
              <w:left w:type="dxa" w:w="240"/>
              <w:bottom w:type="dxa" w:w="160"/>
              <w:right w:type="dxa" w:w="240"/>
            </w:tcMar>
          </w:tcPr>
          <w:p>
            <w:pPr>
              <w:jc w:val="center"/>
            </w:pPr>
            <w:r>
              <w:rPr>
                <w:rFonts w:ascii="Arial" w:cs="Arial" w:eastAsia="Arial" w:hAnsi="Arial"/>
                <w:b/>
                <w:bCs/>
                <w:color w:val="A8C8E8"/>
                <w:sz w:val="18"/>
                <w:szCs w:val="18"/>
              </w:rPr>
              <w:t xml:space="preserve">ADMM 1650 | AAPC Coding II</w:t>
            </w:r>
          </w:p>
          <w:p>
            <w:pPr>
              <w:jc w:val="center"/>
            </w:pPr>
            <w:r>
              <w:rPr>
                <w:rFonts w:ascii="Arial" w:cs="Arial" w:eastAsia="Arial" w:hAnsi="Arial"/>
                <w:b/>
                <w:bCs/>
                <w:color w:val="FFFFFF"/>
                <w:sz w:val="30"/>
                <w:szCs w:val="30"/>
              </w:rPr>
              <w:t xml:space="preserve">Your AAPC Membership &amp; What It Offers</w:t>
            </w:r>
          </w:p>
          <w:p>
            <w:pPr>
              <w:jc w:val="center"/>
            </w:pPr>
            <w:r>
              <w:rPr>
                <w:rFonts w:ascii="Arial" w:cs="Arial" w:eastAsia="Arial" w:hAnsi="Arial"/>
                <w:color w:val="A8C8E8"/>
                <w:sz w:val="18"/>
                <w:szCs w:val="18"/>
              </w:rPr>
              <w:t xml:space="preserve">Week 1 of 6 | CPC Exam Preparation Series</w:t>
            </w:r>
          </w:p>
        </w:tc>
      </w:tr>
    </w:tbl>
    <w:p>
      <w:pPr>
        <w:spacing w:after="0" w:before="160"/>
      </w:pPr>
      <w:r>
        <w:t xml:space="preserve"/>
      </w:r>
    </w:p>
    <w:p>
      <w:pPr>
        <w:spacing w:after="60" w:before="40"/>
      </w:pPr>
      <w:r>
        <w:rPr>
          <w:rFonts w:ascii="Arial" w:cs="Arial" w:eastAsia="Arial" w:hAnsi="Arial"/>
          <w:color w:val="1A1A1A"/>
          <w:sz w:val="20"/>
          <w:szCs w:val="20"/>
        </w:rPr>
        <w:t xml:space="preserve">You already have your AAPC membership account set up and your 2-attempt CPC exam voucher assigned. Over the next six weeks, we will cover everything you need to know to understand your membership benefits, register for the exam, and walk in on exam day feeling prepared. This week is about getting familiar with what your membership gives you access to right now.</w:t>
      </w:r>
    </w:p>
    <w:p>
      <w:pPr>
        <w:spacing w:after="0" w:before="60"/>
      </w:pPr>
      <w:r>
        <w:t xml:space="preserve"/>
      </w:r>
    </w:p>
    <w:p>
      <w:pPr>
        <w:pBdr>
          <w:bottom w:val="single" w:color="2E75B6" w:sz="6" w:space="1"/>
        </w:pBdr>
        <w:spacing w:after="80" w:before="200"/>
      </w:pPr>
      <w:r>
        <w:rPr>
          <w:rFonts w:ascii="Arial" w:cs="Arial" w:eastAsia="Arial" w:hAnsi="Arial"/>
          <w:b/>
          <w:bCs/>
          <w:color w:val="1F4E79"/>
          <w:sz w:val="24"/>
          <w:szCs w:val="24"/>
        </w:rPr>
        <w:t xml:space="preserve">What Is AAPC?</w:t>
      </w:r>
    </w:p>
    <w:p>
      <w:pPr>
        <w:spacing w:after="60" w:before="40"/>
      </w:pPr>
      <w:r>
        <w:rPr>
          <w:rFonts w:ascii="Arial" w:cs="Arial" w:eastAsia="Arial" w:hAnsi="Arial"/>
          <w:color w:val="1A1A1A"/>
          <w:sz w:val="20"/>
          <w:szCs w:val="20"/>
        </w:rPr>
        <w:t xml:space="preserve">AAPC (formerly the American Academy of Professional Coders) is the world's largest training and credentialing organization for the business side of healthcare. It was founded in 1988 and now has over 200,000 members worldwide. When you earn your CPC credential, you are earning the most widely recognized professional coding certification in the industry.</w:t>
      </w:r>
    </w:p>
    <w:p>
      <w:pPr>
        <w:spacing w:after="0" w:before="40"/>
      </w:pPr>
      <w:r>
        <w:t xml:space="preserve"/>
      </w:r>
    </w:p>
    <w:p>
      <w:pPr>
        <w:pBdr>
          <w:bottom w:val="single" w:color="2E75B6" w:sz="6" w:space="1"/>
        </w:pBdr>
        <w:spacing w:after="80" w:before="200"/>
      </w:pPr>
      <w:r>
        <w:rPr>
          <w:rFonts w:ascii="Arial" w:cs="Arial" w:eastAsia="Arial" w:hAnsi="Arial"/>
          <w:b/>
          <w:bCs/>
          <w:color w:val="1F4E79"/>
          <w:sz w:val="24"/>
          <w:szCs w:val="24"/>
        </w:rPr>
        <w:t xml:space="preserve">What Your Membership Includes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60"/>
            </w:pPr>
            <w:r>
              <w:rPr>
                <w:rFonts w:ascii="Arial" w:cs="Arial" w:eastAsia="Arial" w:hAnsi="Arial"/>
                <w:b/>
                <w:bCs/>
                <w:color w:val="1F4E79"/>
                <w:sz w:val="20"/>
                <w:szCs w:val="20"/>
              </w:rPr>
              <w:t xml:space="preserve">Professional Resources</w:t>
            </w:r>
          </w:p>
          <w:p>
            <w:pPr>
              <w:pStyle w:val="ListParagraph"/>
              <w:numPr>
                <w:ilvl w:val="0"/>
                <w:numId w:val="2"/>
              </w:numPr>
              <w:spacing w:after="20" w:before="20"/>
            </w:pPr>
            <w:r>
              <w:rPr>
                <w:rFonts w:ascii="Arial" w:cs="Arial" w:eastAsia="Arial" w:hAnsi="Arial"/>
                <w:color w:val="1A1A1A"/>
                <w:sz w:val="19"/>
                <w:szCs w:val="19"/>
              </w:rPr>
              <w:t xml:space="preserve">CPC exam voucher (2 attempts, valid through Jan 2027)</w:t>
            </w:r>
          </w:p>
          <w:p>
            <w:pPr>
              <w:pStyle w:val="ListParagraph"/>
              <w:numPr>
                <w:ilvl w:val="0"/>
                <w:numId w:val="2"/>
              </w:numPr>
              <w:spacing w:after="20" w:before="20"/>
            </w:pPr>
            <w:r>
              <w:rPr>
                <w:rFonts w:ascii="Arial" w:cs="Arial" w:eastAsia="Arial" w:hAnsi="Arial"/>
                <w:color w:val="1A1A1A"/>
                <w:sz w:val="19"/>
                <w:szCs w:val="19"/>
              </w:rPr>
              <w:t xml:space="preserve">Member ID card and digital credentials</w:t>
            </w:r>
          </w:p>
          <w:p>
            <w:pPr>
              <w:pStyle w:val="ListParagraph"/>
              <w:numPr>
                <w:ilvl w:val="0"/>
                <w:numId w:val="2"/>
              </w:numPr>
              <w:spacing w:after="20" w:before="20"/>
            </w:pPr>
            <w:r>
              <w:rPr>
                <w:rFonts w:ascii="Arial" w:cs="Arial" w:eastAsia="Arial" w:hAnsi="Arial"/>
                <w:color w:val="1A1A1A"/>
                <w:sz w:val="19"/>
                <w:szCs w:val="19"/>
              </w:rPr>
              <w:t xml:space="preserve">Access to the AAPC job board</w:t>
            </w:r>
          </w:p>
          <w:p>
            <w:pPr>
              <w:pStyle w:val="ListParagraph"/>
              <w:numPr>
                <w:ilvl w:val="0"/>
                <w:numId w:val="2"/>
              </w:numPr>
              <w:spacing w:after="20" w:before="20"/>
            </w:pPr>
            <w:r>
              <w:rPr>
                <w:rFonts w:ascii="Arial" w:cs="Arial" w:eastAsia="Arial" w:hAnsi="Arial"/>
                <w:color w:val="1A1A1A"/>
                <w:sz w:val="19"/>
                <w:szCs w:val="19"/>
              </w:rPr>
              <w:t xml:space="preserve">Discounts on AAPC code books, courses, and webinars</w:t>
            </w:r>
          </w:p>
          <w:p>
            <w:pPr>
              <w:pStyle w:val="ListParagraph"/>
              <w:numPr>
                <w:ilvl w:val="0"/>
                <w:numId w:val="2"/>
              </w:numPr>
              <w:spacing w:after="20" w:before="20"/>
            </w:pPr>
            <w:r>
              <w:rPr>
                <w:rFonts w:ascii="Arial" w:cs="Arial" w:eastAsia="Arial" w:hAnsi="Arial"/>
                <w:color w:val="1A1A1A"/>
                <w:sz w:val="19"/>
                <w:szCs w:val="19"/>
              </w:rPr>
              <w:t xml:space="preserve">Free and low-cost CEU opportunities</w:t>
            </w:r>
          </w:p>
        </w:tc>
        <w:tc>
          <w:tcPr>
            <w:tcW w:type="dxa" w:w="4860"/>
            <w:tcBorders>
              <w:top w:val="single" w:color="CCCCCC" w:sz="1"/>
              <w:left w:val="single" w:color="CCCCCC" w:sz="1"/>
              <w:bottom w:val="single" w:color="CCCCCC" w:sz="1"/>
              <w:right w:val="single" w:color="CCCCCC" w:sz="1"/>
            </w:tcBorders>
            <w:shd w:fill="D6E4F0" w:val="clear"/>
            <w:tcMar>
              <w:top w:type="dxa" w:w="80"/>
              <w:left w:type="dxa" w:w="160"/>
              <w:bottom w:type="dxa" w:w="80"/>
              <w:right w:type="dxa" w:w="160"/>
            </w:tcMar>
          </w:tcPr>
          <w:p>
            <w:pPr>
              <w:spacing w:after="60"/>
            </w:pPr>
            <w:r>
              <w:rPr>
                <w:rFonts w:ascii="Arial" w:cs="Arial" w:eastAsia="Arial" w:hAnsi="Arial"/>
                <w:b/>
                <w:bCs/>
                <w:color w:val="1F4E79"/>
                <w:sz w:val="20"/>
                <w:szCs w:val="20"/>
              </w:rPr>
              <w:t xml:space="preserve">Networking &amp; Community</w:t>
            </w:r>
          </w:p>
          <w:p>
            <w:pPr>
              <w:pStyle w:val="ListParagraph"/>
              <w:numPr>
                <w:ilvl w:val="0"/>
                <w:numId w:val="2"/>
              </w:numPr>
              <w:spacing w:after="20" w:before="20"/>
            </w:pPr>
            <w:r>
              <w:rPr>
                <w:rFonts w:ascii="Arial" w:cs="Arial" w:eastAsia="Arial" w:hAnsi="Arial"/>
                <w:color w:val="1A1A1A"/>
                <w:sz w:val="19"/>
                <w:szCs w:val="19"/>
              </w:rPr>
              <w:t xml:space="preserve">Access to local AAPC chapters and events</w:t>
            </w:r>
          </w:p>
          <w:p>
            <w:pPr>
              <w:pStyle w:val="ListParagraph"/>
              <w:numPr>
                <w:ilvl w:val="0"/>
                <w:numId w:val="2"/>
              </w:numPr>
              <w:spacing w:after="20" w:before="20"/>
            </w:pPr>
            <w:r>
              <w:rPr>
                <w:rFonts w:ascii="Arial" w:cs="Arial" w:eastAsia="Arial" w:hAnsi="Arial"/>
                <w:color w:val="1A1A1A"/>
                <w:sz w:val="19"/>
                <w:szCs w:val="19"/>
              </w:rPr>
              <w:t xml:space="preserve">Networking with credentialed coders in your area</w:t>
            </w:r>
          </w:p>
          <w:p>
            <w:pPr>
              <w:pStyle w:val="ListParagraph"/>
              <w:numPr>
                <w:ilvl w:val="0"/>
                <w:numId w:val="2"/>
              </w:numPr>
              <w:spacing w:after="20" w:before="20"/>
            </w:pPr>
            <w:r>
              <w:rPr>
                <w:rFonts w:ascii="Arial" w:cs="Arial" w:eastAsia="Arial" w:hAnsi="Arial"/>
                <w:color w:val="1A1A1A"/>
                <w:sz w:val="19"/>
                <w:szCs w:val="19"/>
              </w:rPr>
              <w:t xml:space="preserve">AAPC online community forums</w:t>
            </w:r>
          </w:p>
          <w:p>
            <w:pPr>
              <w:pStyle w:val="ListParagraph"/>
              <w:numPr>
                <w:ilvl w:val="0"/>
                <w:numId w:val="2"/>
              </w:numPr>
              <w:spacing w:after="20" w:before="20"/>
            </w:pPr>
            <w:r>
              <w:rPr>
                <w:rFonts w:ascii="Arial" w:cs="Arial" w:eastAsia="Arial" w:hAnsi="Arial"/>
                <w:color w:val="1A1A1A"/>
                <w:sz w:val="19"/>
                <w:szCs w:val="19"/>
              </w:rPr>
              <w:t xml:space="preserve">CEU tracking through your member dashboard</w:t>
            </w:r>
          </w:p>
          <w:p>
            <w:pPr>
              <w:pStyle w:val="ListParagraph"/>
              <w:numPr>
                <w:ilvl w:val="0"/>
                <w:numId w:val="2"/>
              </w:numPr>
              <w:spacing w:after="20" w:before="20"/>
            </w:pPr>
            <w:r>
              <w:rPr>
                <w:rFonts w:ascii="Arial" w:cs="Arial" w:eastAsia="Arial" w:hAnsi="Arial"/>
                <w:color w:val="1A1A1A"/>
                <w:sz w:val="19"/>
                <w:szCs w:val="19"/>
              </w:rPr>
              <w:t xml:space="preserve">Consumer discounts through AAPC Passport Savings</w:t>
            </w:r>
          </w:p>
        </w:tc>
      </w:tr>
    </w:tbl>
    <w:p>
      <w:pPr>
        <w:spacing w:after="0" w:before="80"/>
      </w:pPr>
      <w:r>
        <w:t xml:space="preserve"/>
      </w:r>
    </w:p>
    <w:p>
      <w:pPr>
        <w:pBdr>
          <w:bottom w:val="single" w:color="2E75B6" w:sz="6" w:space="1"/>
        </w:pBdr>
        <w:spacing w:after="80" w:before="200"/>
      </w:pPr>
      <w:r>
        <w:rPr>
          <w:rFonts w:ascii="Arial" w:cs="Arial" w:eastAsia="Arial" w:hAnsi="Arial"/>
          <w:b/>
          <w:bCs/>
          <w:color w:val="1F4E79"/>
          <w:sz w:val="24"/>
          <w:szCs w:val="24"/>
        </w:rPr>
        <w:t xml:space="preserve">Navigating Your Member Portal</w:t>
      </w:r>
    </w:p>
    <w:p>
      <w:pPr>
        <w:spacing w:after="60" w:before="40"/>
      </w:pPr>
      <w:r>
        <w:rPr>
          <w:rFonts w:ascii="Arial" w:cs="Arial" w:eastAsia="Arial" w:hAnsi="Arial"/>
          <w:color w:val="1A1A1A"/>
          <w:sz w:val="20"/>
          <w:szCs w:val="20"/>
        </w:rPr>
        <w:t xml:space="preserve">Log in at aapc.com to access your member dashboard. Here is what to look for:</w:t>
      </w:r>
    </w:p>
    <w:p>
      <w:pPr>
        <w:pStyle w:val="ListParagraph"/>
        <w:numPr>
          <w:ilvl w:val="0"/>
          <w:numId w:val="2"/>
        </w:numPr>
        <w:spacing w:after="30" w:before="30"/>
      </w:pPr>
      <w:r>
        <w:rPr>
          <w:rFonts w:ascii="Arial" w:cs="Arial" w:eastAsia="Arial" w:hAnsi="Arial"/>
          <w:color w:val="1A1A1A"/>
          <w:sz w:val="20"/>
          <w:szCs w:val="20"/>
        </w:rPr>
        <w:t xml:space="preserve">My Account: View your membership status, exam voucher, and CEU credits</w:t>
      </w:r>
    </w:p>
    <w:p>
      <w:pPr>
        <w:pStyle w:val="ListParagraph"/>
        <w:numPr>
          <w:ilvl w:val="0"/>
          <w:numId w:val="2"/>
        </w:numPr>
        <w:spacing w:after="30" w:before="30"/>
      </w:pPr>
      <w:r>
        <w:rPr>
          <w:rFonts w:ascii="Arial" w:cs="Arial" w:eastAsia="Arial" w:hAnsi="Arial"/>
          <w:color w:val="1A1A1A"/>
          <w:sz w:val="20"/>
          <w:szCs w:val="20"/>
        </w:rPr>
        <w:t xml:space="preserve">My Chapter: Find your local chapter, meeting schedules, and events</w:t>
      </w:r>
    </w:p>
    <w:p>
      <w:pPr>
        <w:pStyle w:val="ListParagraph"/>
        <w:numPr>
          <w:ilvl w:val="0"/>
          <w:numId w:val="2"/>
        </w:numPr>
        <w:spacing w:after="30" w:before="30"/>
      </w:pPr>
      <w:r>
        <w:rPr>
          <w:rFonts w:ascii="Arial" w:cs="Arial" w:eastAsia="Arial" w:hAnsi="Arial"/>
          <w:color w:val="1A1A1A"/>
          <w:sz w:val="20"/>
          <w:szCs w:val="20"/>
        </w:rPr>
        <w:t xml:space="preserve">Career Center: Browse job postings and career development resources</w:t>
      </w:r>
    </w:p>
    <w:p>
      <w:pPr>
        <w:pStyle w:val="ListParagraph"/>
        <w:numPr>
          <w:ilvl w:val="0"/>
          <w:numId w:val="2"/>
        </w:numPr>
        <w:spacing w:after="30" w:before="30"/>
      </w:pPr>
      <w:r>
        <w:rPr>
          <w:rFonts w:ascii="Arial" w:cs="Arial" w:eastAsia="Arial" w:hAnsi="Arial"/>
          <w:color w:val="1A1A1A"/>
          <w:sz w:val="20"/>
          <w:szCs w:val="20"/>
        </w:rPr>
        <w:t xml:space="preserve">Education: View available courses, webinars, and study resources</w:t>
      </w:r>
    </w:p>
    <w:p>
      <w:pPr>
        <w:pStyle w:val="ListParagraph"/>
        <w:numPr>
          <w:ilvl w:val="0"/>
          <w:numId w:val="2"/>
        </w:numPr>
        <w:spacing w:after="30" w:before="30"/>
      </w:pPr>
      <w:r>
        <w:rPr>
          <w:rFonts w:ascii="Arial" w:cs="Arial" w:eastAsia="Arial" w:hAnsi="Arial"/>
          <w:color w:val="1A1A1A"/>
          <w:sz w:val="20"/>
          <w:szCs w:val="20"/>
        </w:rPr>
        <w:t xml:space="preserve">Savings: Access member discounts on products and services</w:t>
      </w:r>
    </w:p>
    <w:p>
      <w:pPr>
        <w:spacing w:after="0" w:before="80"/>
      </w:pPr>
      <w:r>
        <w:t xml:space="preserve"/>
      </w:r>
    </w:p>
    <w:p>
      <w:pPr>
        <w:pBdr>
          <w:bottom w:val="single" w:color="2E75B6" w:sz="6" w:space="1"/>
        </w:pBdr>
        <w:spacing w:after="80" w:before="200"/>
      </w:pPr>
      <w:r>
        <w:rPr>
          <w:rFonts w:ascii="Arial" w:cs="Arial" w:eastAsia="Arial" w:hAnsi="Arial"/>
          <w:b/>
          <w:bCs/>
          <w:color w:val="1F4E79"/>
          <w:sz w:val="24"/>
          <w:szCs w:val="24"/>
        </w:rPr>
        <w:t xml:space="preserve">About Your Exam Voucher</w:t>
      </w:r>
    </w:p>
    <w:p>
      <w:pPr>
        <w:spacing w:after="60" w:before="40"/>
      </w:pPr>
      <w:r>
        <w:rPr>
          <w:rFonts w:ascii="Arial" w:cs="Arial" w:eastAsia="Arial" w:hAnsi="Arial"/>
          <w:color w:val="1A1A1A"/>
          <w:sz w:val="20"/>
          <w:szCs w:val="20"/>
        </w:rPr>
        <w:t xml:space="preserve">Your voucher gives you two attempts at the CPC exam and is valid through January 2027. You do not need to use both attempts, but having a second attempt available takes the pressure off. We will cover how to register in Week 3. For now, just confirm you can see the voucher assigned in your AAPC account.</w:t>
      </w:r>
    </w:p>
    <w:p>
      <w:pPr>
        <w:spacing w:after="0" w:before="100"/>
      </w:pPr>
      <w:r>
        <w:t xml:space="preserve"/>
      </w:r>
    </w:p>
    <w:p>
      <w:pPr>
        <w:jc w:val="center"/>
      </w:pPr>
      <w:r>
        <w:rPr>
          <w:rFonts w:ascii="Arial" w:cs="Arial" w:eastAsia="Arial" w:hAnsi="Arial"/>
          <w:i/>
          <w:iCs/>
          <w:color w:val="888888"/>
          <w:sz w:val="18"/>
          <w:szCs w:val="18"/>
        </w:rPr>
        <w:t xml:space="preserve">Questions? Reach out anytime. That is what I am here for.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2026-03-20T20:43:10.441Z</dcterms:created>
  <dcterms:modified xsi:type="dcterms:W3CDTF">2026-03-20T20:43:10.442Z</dcterms:modified>
</cp:coreProperties>
</file>

<file path=docProps/custom.xml><?xml version="1.0" encoding="utf-8"?>
<Properties xmlns="http://schemas.openxmlformats.org/officeDocument/2006/custom-properties" xmlns:vt="http://schemas.openxmlformats.org/officeDocument/2006/docPropsVTypes"/>
</file>