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140"/>
              <w:left w:type="dxa" w:w="240"/>
              <w:bottom w:type="dxa" w:w="140"/>
              <w:right w:type="dxa" w:w="240"/>
            </w:tcMar>
          </w:tcPr>
          <w:p>
            <w:pPr>
              <w:jc w:val="center"/>
            </w:pPr>
            <w:r>
              <w:rPr>
                <w:rFonts w:ascii="Arial" w:cs="Arial" w:eastAsia="Arial" w:hAnsi="Arial"/>
                <w:b/>
                <w:bCs/>
                <w:color w:val="A8C8E8"/>
                <w:sz w:val="17"/>
                <w:szCs w:val="17"/>
              </w:rPr>
              <w:t xml:space="preserve">ADMM 1650 | AAPC Coding II</w:t>
            </w:r>
          </w:p>
          <w:p>
            <w:pPr>
              <w:jc w:val="center"/>
            </w:pPr>
            <w:r>
              <w:rPr>
                <w:rFonts w:ascii="Arial" w:cs="Arial" w:eastAsia="Arial" w:hAnsi="Arial"/>
                <w:b/>
                <w:bCs/>
                <w:color w:val="FFFFFF"/>
                <w:sz w:val="26"/>
                <w:szCs w:val="26"/>
              </w:rPr>
              <w:t xml:space="preserve">Preparing Smart: Study Strategies and Tabbing Your Books</w:t>
            </w:r>
          </w:p>
          <w:p>
            <w:pPr>
              <w:jc w:val="center"/>
            </w:pPr>
            <w:r>
              <w:rPr>
                <w:rFonts w:ascii="Arial" w:cs="Arial" w:eastAsia="Arial" w:hAnsi="Arial"/>
                <w:color w:val="A8C8E8"/>
                <w:sz w:val="17"/>
                <w:szCs w:val="17"/>
              </w:rPr>
              <w:t xml:space="preserve">Week 4 of 6 | CPC Exam Preparation Series</w:t>
            </w:r>
          </w:p>
        </w:tc>
      </w:tr>
    </w:tbl>
    <w:p>
      <w:pPr>
        <w:spacing w:after="0" w:before="120"/>
      </w:pPr>
      <w:r>
        <w:t xml:space="preserve"/>
      </w:r>
    </w:p>
    <w:p>
      <w:pPr>
        <w:spacing w:after="50" w:before="40"/>
      </w:pPr>
      <w:r>
        <w:rPr>
          <w:rFonts w:ascii="Arial" w:cs="Arial" w:eastAsia="Arial" w:hAnsi="Arial"/>
          <w:color w:val="1A1A1A"/>
          <w:sz w:val="19"/>
          <w:szCs w:val="19"/>
        </w:rPr>
        <w:t xml:space="preserve">The CPC exam is open book, but that does not mean your books are automatically useful. Students who pass are the ones who can find what they need quickly. This week is about making sure your books are working for you on exam day, not slowing you down.</w:t>
      </w:r>
    </w:p>
    <w:p>
      <w:pPr>
        <w:spacing w:after="0" w:before="40"/>
      </w:pPr>
      <w:r>
        <w:t xml:space="preserve"/>
      </w:r>
    </w:p>
    <w:p>
      <w:pPr>
        <w:pBdr>
          <w:bottom w:val="single" w:color="2E75B6" w:sz="6" w:space="1"/>
        </w:pBdr>
        <w:spacing w:after="60" w:before="160"/>
      </w:pPr>
      <w:r>
        <w:rPr>
          <w:rFonts w:ascii="Arial" w:cs="Arial" w:eastAsia="Arial" w:hAnsi="Arial"/>
          <w:b/>
          <w:bCs/>
          <w:color w:val="1F4E79"/>
          <w:sz w:val="24"/>
          <w:szCs w:val="24"/>
        </w:rPr>
        <w:t xml:space="preserve">Tabbing Your Physical Books</w:t>
      </w:r>
    </w:p>
    <w:p>
      <w:pPr>
        <w:spacing w:after="50" w:before="40"/>
      </w:pPr>
      <w:r>
        <w:rPr>
          <w:rFonts w:ascii="Arial" w:cs="Arial" w:eastAsia="Arial" w:hAnsi="Arial"/>
          <w:color w:val="1A1A1A"/>
          <w:sz w:val="19"/>
          <w:szCs w:val="19"/>
        </w:rPr>
        <w:t xml:space="preserve">Tabs are one of the highest-return investments you can make before exam day. The goal is to be able to locate any section within seconds. Here are the rules and best practices:</w:t>
      </w:r>
    </w:p>
    <w:p>
      <w:pPr>
        <w:pStyle w:val="ListParagraph"/>
        <w:numPr>
          <w:ilvl w:val="0"/>
          <w:numId w:val="2"/>
        </w:numPr>
        <w:spacing w:after="20" w:before="20"/>
      </w:pPr>
      <w:r>
        <w:rPr>
          <w:rFonts w:ascii="Arial" w:cs="Arial" w:eastAsia="Arial" w:hAnsi="Arial"/>
          <w:color w:val="1A1A1A"/>
          <w:sz w:val="19"/>
          <w:szCs w:val="19"/>
        </w:rPr>
        <w:t xml:space="preserve">Tabs may be inserted, taped, pasted, glued, or stapled into your books. The intent must clearly be to mark a page, not to add information.</w:t>
      </w:r>
    </w:p>
    <w:p>
      <w:pPr>
        <w:pStyle w:val="ListParagraph"/>
        <w:numPr>
          <w:ilvl w:val="0"/>
          <w:numId w:val="2"/>
        </w:numPr>
        <w:spacing w:after="20" w:before="20"/>
      </w:pPr>
      <w:r>
        <w:rPr>
          <w:rFonts w:ascii="Arial" w:cs="Arial" w:eastAsia="Arial" w:hAnsi="Arial"/>
          <w:color w:val="1A1A1A"/>
          <w:sz w:val="19"/>
          <w:szCs w:val="19"/>
        </w:rPr>
        <w:t xml:space="preserve">Write section names or code ranges on your tabs so you can identify them at a glance without opening the book.</w:t>
      </w:r>
    </w:p>
    <w:p>
      <w:pPr>
        <w:pStyle w:val="ListParagraph"/>
        <w:numPr>
          <w:ilvl w:val="0"/>
          <w:numId w:val="2"/>
        </w:numPr>
        <w:spacing w:after="20" w:before="20"/>
      </w:pPr>
      <w:r>
        <w:rPr>
          <w:rFonts w:ascii="Arial" w:cs="Arial" w:eastAsia="Arial" w:hAnsi="Arial"/>
          <w:color w:val="1A1A1A"/>
          <w:sz w:val="19"/>
          <w:szCs w:val="19"/>
        </w:rPr>
        <w:t xml:space="preserve">Do not use tabs to add supplemental information or notes that do not relate to your daily coding work.</w:t>
      </w:r>
    </w:p>
    <w:p>
      <w:pPr>
        <w:pStyle w:val="ListParagraph"/>
        <w:numPr>
          <w:ilvl w:val="0"/>
          <w:numId w:val="2"/>
        </w:numPr>
        <w:spacing w:after="20" w:before="20"/>
      </w:pPr>
      <w:r>
        <w:rPr>
          <w:rFonts w:ascii="Arial" w:cs="Arial" w:eastAsia="Arial" w:hAnsi="Arial"/>
          <w:color w:val="1A1A1A"/>
          <w:sz w:val="19"/>
          <w:szCs w:val="19"/>
        </w:rPr>
        <w:t xml:space="preserve">Keep tabs consistent across your three books so your eyes know where to look.</w:t>
      </w:r>
    </w:p>
    <w:p>
      <w:pPr>
        <w:spacing w:after="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00"/>
        <w:gridCol w:w="7020"/>
      </w:tblGrid>
      <w:tr>
        <w:tc>
          <w:tcPr>
            <w:tcW w:type="dxa" w:w="2700"/>
            <w:tcBorders>
              <w:top w:val="single" w:color="CCCCCC" w:sz="1"/>
              <w:left w:val="single" w:color="CCCCCC" w:sz="1"/>
              <w:bottom w:val="single" w:color="CCCCCC" w:sz="1"/>
              <w:right w:val="single" w:color="CCCCCC" w:sz="1"/>
            </w:tcBorders>
            <w:shd w:fill="2E75B6" w:val="clear"/>
            <w:tcMar>
              <w:top w:type="dxa" w:w="70"/>
              <w:left w:type="dxa" w:w="160"/>
              <w:bottom w:type="dxa" w:w="70"/>
              <w:right w:type="dxa" w:w="160"/>
            </w:tcMar>
          </w:tcPr>
          <w:p>
            <w:r>
              <w:rPr>
                <w:rFonts w:ascii="Arial" w:cs="Arial" w:eastAsia="Arial" w:hAnsi="Arial"/>
                <w:b/>
                <w:bCs/>
                <w:color w:val="FFFFFF"/>
                <w:sz w:val="18"/>
                <w:szCs w:val="18"/>
              </w:rPr>
              <w:t xml:space="preserve">Book</w:t>
            </w:r>
          </w:p>
        </w:tc>
        <w:tc>
          <w:tcPr>
            <w:tcW w:type="dxa" w:w="7020"/>
            <w:tcBorders>
              <w:top w:val="single" w:color="CCCCCC" w:sz="1"/>
              <w:left w:val="single" w:color="CCCCCC" w:sz="1"/>
              <w:bottom w:val="single" w:color="CCCCCC" w:sz="1"/>
              <w:right w:val="single" w:color="CCCCCC" w:sz="1"/>
            </w:tcBorders>
            <w:shd w:fill="2E75B6" w:val="clear"/>
            <w:tcMar>
              <w:top w:type="dxa" w:w="70"/>
              <w:left w:type="dxa" w:w="160"/>
              <w:bottom w:type="dxa" w:w="70"/>
              <w:right w:type="dxa" w:w="160"/>
            </w:tcMar>
          </w:tcPr>
          <w:p>
            <w:r>
              <w:rPr>
                <w:rFonts w:ascii="Arial" w:cs="Arial" w:eastAsia="Arial" w:hAnsi="Arial"/>
                <w:b/>
                <w:bCs/>
                <w:color w:val="FFFFFF"/>
                <w:sz w:val="18"/>
                <w:szCs w:val="18"/>
              </w:rPr>
              <w:t xml:space="preserve">Suggested Tab Locations</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b/>
                <w:bCs/>
                <w:color w:val="1F4E79"/>
                <w:sz w:val="18"/>
                <w:szCs w:val="18"/>
              </w:rPr>
              <w:t xml:space="preserve">CPT</w:t>
            </w:r>
          </w:p>
        </w:tc>
        <w:tc>
          <w:tcPr>
            <w:tcW w:type="dxa" w:w="702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18"/>
                <w:szCs w:val="18"/>
              </w:rPr>
              <w:t xml:space="preserve">Each surgical section (10000s through 60000s), Radiology, Pathology/Lab, Medicine, E/M, Anesthesia, Appendices (especially Appendix A for modifiers)</w:t>
            </w:r>
          </w:p>
        </w:tc>
      </w:tr>
      <w:tr>
        <w:tc>
          <w:tcPr>
            <w:tcW w:type="dxa" w:w="2700"/>
            <w:tcBorders>
              <w:top w:val="single" w:color="CCCCCC" w:sz="1"/>
              <w:left w:val="single" w:color="CCCCCC" w:sz="1"/>
              <w:bottom w:val="single" w:color="CCCCCC" w:sz="1"/>
              <w:right w:val="single" w:color="CCCCCC" w:sz="1"/>
            </w:tcBorders>
            <w:shd w:fill="D6E4F0" w:val="clear"/>
            <w:tcMar>
              <w:top w:type="dxa" w:w="70"/>
              <w:left w:type="dxa" w:w="160"/>
              <w:bottom w:type="dxa" w:w="70"/>
              <w:right w:type="dxa" w:w="160"/>
            </w:tcMar>
          </w:tcPr>
          <w:p>
            <w:r>
              <w:rPr>
                <w:rFonts w:ascii="Arial" w:cs="Arial" w:eastAsia="Arial" w:hAnsi="Arial"/>
                <w:b/>
                <w:bCs/>
                <w:color w:val="1F4E79"/>
                <w:sz w:val="18"/>
                <w:szCs w:val="18"/>
              </w:rPr>
              <w:t xml:space="preserve">ICD-10-CM</w:t>
            </w:r>
          </w:p>
        </w:tc>
        <w:tc>
          <w:tcPr>
            <w:tcW w:type="dxa" w:w="7020"/>
            <w:tcBorders>
              <w:top w:val="single" w:color="CCCCCC" w:sz="1"/>
              <w:left w:val="single" w:color="CCCCCC" w:sz="1"/>
              <w:bottom w:val="single" w:color="CCCCCC" w:sz="1"/>
              <w:right w:val="single" w:color="CCCCCC" w:sz="1"/>
            </w:tcBorders>
            <w:shd w:fill="D6E4F0" w:val="clear"/>
            <w:tcMar>
              <w:top w:type="dxa" w:w="70"/>
              <w:left w:type="dxa" w:w="160"/>
              <w:bottom w:type="dxa" w:w="70"/>
              <w:right w:type="dxa" w:w="160"/>
            </w:tcMar>
          </w:tcPr>
          <w:p>
            <w:r>
              <w:rPr>
                <w:rFonts w:ascii="Arial" w:cs="Arial" w:eastAsia="Arial" w:hAnsi="Arial"/>
                <w:color w:val="1A1A1A"/>
                <w:sz w:val="18"/>
                <w:szCs w:val="18"/>
              </w:rPr>
              <w:t xml:space="preserve">Official Coding Guidelines, each chapter (Chapter 1 through Chapter 22), Table of Drugs and Chemicals, External Cause Index</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b/>
                <w:bCs/>
                <w:color w:val="1F4E79"/>
                <w:sz w:val="18"/>
                <w:szCs w:val="18"/>
              </w:rPr>
              <w:t xml:space="preserve">HCPCS Level II</w:t>
            </w:r>
          </w:p>
        </w:tc>
        <w:tc>
          <w:tcPr>
            <w:tcW w:type="dxa" w:w="702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18"/>
                <w:szCs w:val="18"/>
              </w:rPr>
              <w:t xml:space="preserve">Index, Table of Drugs, each letter section (A through V), Modifiers</w:t>
            </w:r>
          </w:p>
        </w:tc>
      </w:tr>
    </w:tbl>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Annotations: What Is and Is Not Allowed</w:t>
      </w:r>
    </w:p>
    <w:p>
      <w:pPr>
        <w:spacing w:after="50" w:before="40"/>
      </w:pPr>
      <w:r>
        <w:rPr>
          <w:rFonts w:ascii="Arial" w:cs="Arial" w:eastAsia="Arial" w:hAnsi="Arial"/>
          <w:color w:val="1A1A1A"/>
          <w:sz w:val="19"/>
          <w:szCs w:val="19"/>
        </w:rPr>
        <w:t xml:space="preserve">You may write notes directly in your code books as long as they relate to coding activities. Keep the following rules in mind:</w:t>
      </w:r>
    </w:p>
    <w:p>
      <w:pPr>
        <w:pStyle w:val="ListParagraph"/>
        <w:numPr>
          <w:ilvl w:val="0"/>
          <w:numId w:val="2"/>
        </w:numPr>
        <w:spacing w:after="20" w:before="20"/>
      </w:pPr>
      <w:r>
        <w:rPr>
          <w:rFonts w:ascii="Arial" w:cs="Arial" w:eastAsia="Arial" w:hAnsi="Arial"/>
          <w:color w:val="1A1A1A"/>
          <w:sz w:val="19"/>
          <w:szCs w:val="19"/>
        </w:rPr>
        <w:t xml:space="preserve">Handwritten notes and annotations in the margins are permitted.</w:t>
      </w:r>
    </w:p>
    <w:p>
      <w:pPr>
        <w:pStyle w:val="ListParagraph"/>
        <w:numPr>
          <w:ilvl w:val="0"/>
          <w:numId w:val="2"/>
        </w:numPr>
        <w:spacing w:after="20" w:before="20"/>
      </w:pPr>
      <w:r>
        <w:rPr>
          <w:rFonts w:ascii="Arial" w:cs="Arial" w:eastAsia="Arial" w:hAnsi="Arial"/>
          <w:color w:val="1A1A1A"/>
          <w:sz w:val="19"/>
          <w:szCs w:val="19"/>
        </w:rPr>
        <w:t xml:space="preserve">Long passages of information written on blank pages are not permitted.</w:t>
      </w:r>
    </w:p>
    <w:p>
      <w:pPr>
        <w:pStyle w:val="ListParagraph"/>
        <w:numPr>
          <w:ilvl w:val="0"/>
          <w:numId w:val="2"/>
        </w:numPr>
        <w:spacing w:after="20" w:before="20"/>
      </w:pPr>
      <w:r>
        <w:rPr>
          <w:rFonts w:ascii="Arial" w:cs="Arial" w:eastAsia="Arial" w:hAnsi="Arial"/>
          <w:color w:val="1A1A1A"/>
          <w:sz w:val="19"/>
          <w:szCs w:val="19"/>
        </w:rPr>
        <w:t xml:space="preserve">You may not white out, paint over, or print over any pages in your books.</w:t>
      </w:r>
    </w:p>
    <w:p>
      <w:pPr>
        <w:pStyle w:val="ListParagraph"/>
        <w:numPr>
          <w:ilvl w:val="0"/>
          <w:numId w:val="2"/>
        </w:numPr>
        <w:spacing w:after="20" w:before="20"/>
      </w:pPr>
      <w:r>
        <w:rPr>
          <w:rFonts w:ascii="Arial" w:cs="Arial" w:eastAsia="Arial" w:hAnsi="Arial"/>
          <w:color w:val="1A1A1A"/>
          <w:sz w:val="19"/>
          <w:szCs w:val="19"/>
        </w:rPr>
        <w:t xml:space="preserve">Questions from study guides or practice exams may not be written into your books.</w:t>
      </w:r>
    </w:p>
    <w:p>
      <w:pPr>
        <w:pStyle w:val="ListParagraph"/>
        <w:numPr>
          <w:ilvl w:val="0"/>
          <w:numId w:val="2"/>
        </w:numPr>
        <w:spacing w:after="20" w:before="20"/>
      </w:pPr>
      <w:r>
        <w:rPr>
          <w:rFonts w:ascii="Arial" w:cs="Arial" w:eastAsia="Arial" w:hAnsi="Arial"/>
          <w:color w:val="1A1A1A"/>
          <w:sz w:val="19"/>
          <w:szCs w:val="19"/>
        </w:rPr>
        <w:t xml:space="preserve">Helpful annotations: modifier rules, bundling reminders, sequencing notes, and guideline summaries written in your own words near the relevant section.</w:t>
      </w:r>
    </w:p>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A Note on eBooks</w:t>
      </w:r>
    </w:p>
    <w:p>
      <w:pPr>
        <w:spacing w:after="50" w:before="40"/>
      </w:pPr>
      <w:r>
        <w:rPr>
          <w:rFonts w:ascii="Arial" w:cs="Arial" w:eastAsia="Arial" w:hAnsi="Arial"/>
          <w:color w:val="1A1A1A"/>
          <w:sz w:val="19"/>
          <w:szCs w:val="19"/>
        </w:rPr>
        <w:t xml:space="preserve">As of January 2025, AAPC now permits eBooks during the CPC exam in addition to physical books. If you purchase eBooks in the future, here is what to know:</w:t>
      </w:r>
    </w:p>
    <w:p>
      <w:pPr>
        <w:pStyle w:val="ListParagraph"/>
        <w:numPr>
          <w:ilvl w:val="0"/>
          <w:numId w:val="2"/>
        </w:numPr>
        <w:spacing w:after="20" w:before="20"/>
      </w:pPr>
      <w:r>
        <w:rPr>
          <w:rFonts w:ascii="Arial" w:cs="Arial" w:eastAsia="Arial" w:hAnsi="Arial"/>
          <w:color w:val="1A1A1A"/>
          <w:sz w:val="19"/>
          <w:szCs w:val="19"/>
        </w:rPr>
        <w:t xml:space="preserve">eBooks are accessed through the AAPC platform and must be selected as your book format when you register for the exam.</w:t>
      </w:r>
    </w:p>
    <w:p>
      <w:pPr>
        <w:pStyle w:val="ListParagraph"/>
        <w:numPr>
          <w:ilvl w:val="0"/>
          <w:numId w:val="2"/>
        </w:numPr>
        <w:spacing w:after="20" w:before="20"/>
      </w:pPr>
      <w:r>
        <w:rPr>
          <w:rFonts w:ascii="Arial" w:cs="Arial" w:eastAsia="Arial" w:hAnsi="Arial"/>
          <w:color w:val="1A1A1A"/>
          <w:sz w:val="19"/>
          <w:szCs w:val="19"/>
        </w:rPr>
        <w:t xml:space="preserve">You can change your book format selection up to 48 hours before your exam.</w:t>
      </w:r>
    </w:p>
    <w:p>
      <w:pPr>
        <w:pStyle w:val="ListParagraph"/>
        <w:numPr>
          <w:ilvl w:val="0"/>
          <w:numId w:val="2"/>
        </w:numPr>
        <w:spacing w:after="20" w:before="20"/>
      </w:pPr>
      <w:r>
        <w:rPr>
          <w:rFonts w:ascii="Arial" w:cs="Arial" w:eastAsia="Arial" w:hAnsi="Arial"/>
          <w:color w:val="1A1A1A"/>
          <w:sz w:val="19"/>
          <w:szCs w:val="19"/>
        </w:rPr>
        <w:t xml:space="preserve">eBooks and print books can be used together, but only one copy of each book is allowed.</w:t>
      </w:r>
    </w:p>
    <w:p>
      <w:pPr>
        <w:pStyle w:val="ListParagraph"/>
        <w:numPr>
          <w:ilvl w:val="0"/>
          <w:numId w:val="2"/>
        </w:numPr>
        <w:spacing w:after="20" w:before="20"/>
      </w:pPr>
      <w:r>
        <w:rPr>
          <w:rFonts w:ascii="Arial" w:cs="Arial" w:eastAsia="Arial" w:hAnsi="Arial"/>
          <w:color w:val="1A1A1A"/>
          <w:sz w:val="19"/>
          <w:szCs w:val="19"/>
        </w:rPr>
        <w:t xml:space="preserve">eBooks cannot be tabbed or annotated the same way physical books can. Search functionality replaces some of the speed advantage that tabbing provides in print books.</w:t>
      </w:r>
    </w:p>
    <w:p>
      <w:pPr>
        <w:pStyle w:val="ListParagraph"/>
        <w:numPr>
          <w:ilvl w:val="0"/>
          <w:numId w:val="2"/>
        </w:numPr>
        <w:spacing w:after="20" w:before="20"/>
      </w:pPr>
      <w:r>
        <w:rPr>
          <w:rFonts w:ascii="Arial" w:cs="Arial" w:eastAsia="Arial" w:hAnsi="Arial"/>
          <w:color w:val="1A1A1A"/>
          <w:sz w:val="19"/>
          <w:szCs w:val="19"/>
        </w:rPr>
        <w:t xml:space="preserve">For your current exam, stick with your physical books and the tabbing strategies above. eBooks are worth knowing about for future reference or recertification.</w:t>
      </w:r>
    </w:p>
    <w:p>
      <w:pPr>
        <w:spacing w:after="0" w:before="50"/>
      </w:pPr>
      <w:r>
        <w:t xml:space="preserve"/>
      </w:r>
    </w:p>
    <w:p>
      <w:pPr>
        <w:pBdr>
          <w:bottom w:val="single" w:color="2E75B6" w:sz="6" w:space="1"/>
        </w:pBdr>
        <w:spacing w:after="60" w:before="160"/>
      </w:pPr>
      <w:r>
        <w:rPr>
          <w:rFonts w:ascii="Arial" w:cs="Arial" w:eastAsia="Arial" w:hAnsi="Arial"/>
          <w:b/>
          <w:bCs/>
          <w:color w:val="1F4E79"/>
          <w:sz w:val="24"/>
          <w:szCs w:val="24"/>
        </w:rPr>
        <w:t xml:space="preserve">Study Strategy Tips</w:t>
      </w:r>
    </w:p>
    <w:p>
      <w:pPr>
        <w:pStyle w:val="ListParagraph"/>
        <w:numPr>
          <w:ilvl w:val="0"/>
          <w:numId w:val="2"/>
        </w:numPr>
        <w:spacing w:after="20" w:before="20"/>
      </w:pPr>
      <w:r>
        <w:rPr>
          <w:rFonts w:ascii="Arial" w:cs="Arial" w:eastAsia="Arial" w:hAnsi="Arial"/>
          <w:color w:val="1A1A1A"/>
          <w:sz w:val="19"/>
          <w:szCs w:val="19"/>
        </w:rPr>
        <w:t xml:space="preserve">Study from the same books you will bring to the exam. Familiarity with your specific edition matters.</w:t>
      </w:r>
    </w:p>
    <w:p>
      <w:pPr>
        <w:pStyle w:val="ListParagraph"/>
        <w:numPr>
          <w:ilvl w:val="0"/>
          <w:numId w:val="2"/>
        </w:numPr>
        <w:spacing w:after="20" w:before="20"/>
      </w:pPr>
      <w:r>
        <w:rPr>
          <w:rFonts w:ascii="Arial" w:cs="Arial" w:eastAsia="Arial" w:hAnsi="Arial"/>
          <w:color w:val="1A1A1A"/>
          <w:sz w:val="19"/>
          <w:szCs w:val="19"/>
        </w:rPr>
        <w:t xml:space="preserve">Practice locating codes under timed conditions. Aim to find any section in 15 to 30 seconds.</w:t>
      </w:r>
    </w:p>
    <w:p>
      <w:pPr>
        <w:pStyle w:val="ListParagraph"/>
        <w:numPr>
          <w:ilvl w:val="0"/>
          <w:numId w:val="2"/>
        </w:numPr>
        <w:spacing w:after="20" w:before="20"/>
      </w:pPr>
      <w:r>
        <w:rPr>
          <w:rFonts w:ascii="Arial" w:cs="Arial" w:eastAsia="Arial" w:hAnsi="Arial"/>
          <w:color w:val="1A1A1A"/>
          <w:sz w:val="19"/>
          <w:szCs w:val="19"/>
        </w:rPr>
        <w:t xml:space="preserve">Focus extra time on the sections with the most questions: surgical CPT coding, ICD-10-CM guidelines, and E/M.</w:t>
      </w:r>
    </w:p>
    <w:p>
      <w:pPr>
        <w:pStyle w:val="ListParagraph"/>
        <w:numPr>
          <w:ilvl w:val="0"/>
          <w:numId w:val="2"/>
        </w:numPr>
        <w:spacing w:after="20" w:before="20"/>
      </w:pPr>
      <w:r>
        <w:rPr>
          <w:rFonts w:ascii="Arial" w:cs="Arial" w:eastAsia="Arial" w:hAnsi="Arial"/>
          <w:color w:val="1A1A1A"/>
          <w:sz w:val="19"/>
          <w:szCs w:val="19"/>
        </w:rPr>
        <w:t xml:space="preserve">Use the AAPC CPC Study Guide alongside your code books. Do not rely on code books alone for content review.</w:t>
      </w:r>
    </w:p>
    <w:p>
      <w:pPr>
        <w:pStyle w:val="ListParagraph"/>
        <w:numPr>
          <w:ilvl w:val="0"/>
          <w:numId w:val="2"/>
        </w:numPr>
        <w:spacing w:after="20" w:before="20"/>
      </w:pPr>
      <w:r>
        <w:rPr>
          <w:rFonts w:ascii="Arial" w:cs="Arial" w:eastAsia="Arial" w:hAnsi="Arial"/>
          <w:color w:val="1A1A1A"/>
          <w:sz w:val="19"/>
          <w:szCs w:val="19"/>
        </w:rPr>
        <w:t xml:space="preserve">Take at least one full-length timed practice exam before your scheduled test date.</w:t>
      </w:r>
    </w:p>
    <w:p>
      <w:pPr>
        <w:spacing w:after="0" w:before="60"/>
      </w:pPr>
      <w:r>
        <w:t xml:space="preserve"/>
      </w:r>
    </w:p>
    <w:p>
      <w:pPr>
        <w:jc w:val="center"/>
      </w:pPr>
      <w:r>
        <w:rPr>
          <w:rFonts w:ascii="Arial" w:cs="Arial" w:eastAsia="Arial" w:hAnsi="Arial"/>
          <w:i/>
          <w:iCs/>
          <w:color w:val="888888"/>
          <w:sz w:val="17"/>
          <w:szCs w:val="17"/>
        </w:rPr>
        <w:t xml:space="preserve">Questions? Reach out anytime. That is what I am here for.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2026-04-11T03:43:26.164Z</dcterms:created>
  <dcterms:modified xsi:type="dcterms:W3CDTF">2026-04-11T03:43:26.165Z</dcterms:modified>
</cp:coreProperties>
</file>

<file path=docProps/custom.xml><?xml version="1.0" encoding="utf-8"?>
<Properties xmlns="http://schemas.openxmlformats.org/officeDocument/2006/custom-properties" xmlns:vt="http://schemas.openxmlformats.org/officeDocument/2006/docPropsVTypes"/>
</file>