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center"/>
            </w:pPr>
            <w:r>
              <w:rPr>
                <w:rFonts w:ascii="Arial" w:cs="Arial" w:eastAsia="Arial" w:hAnsi="Arial"/>
                <w:b/>
                <w:bCs/>
                <w:color w:val="A8C8E8"/>
                <w:sz w:val="17"/>
                <w:szCs w:val="17"/>
              </w:rPr>
              <w:t xml:space="preserve">ADMM 1650 | AAPC Coding II</w:t>
            </w:r>
          </w:p>
          <w:p>
            <w:pPr>
              <w:jc w:val="center"/>
            </w:pPr>
            <w:r>
              <w:rPr>
                <w:rFonts w:ascii="Arial" w:cs="Arial" w:eastAsia="Arial" w:hAnsi="Arial"/>
                <w:b/>
                <w:bCs/>
                <w:color w:val="FFFFFF"/>
                <w:sz w:val="24"/>
                <w:szCs w:val="24"/>
              </w:rPr>
              <w:t xml:space="preserve">Exam Day: What to Bring, What to Expect, and How to Pace Yourself</w:t>
            </w:r>
          </w:p>
          <w:p>
            <w:pPr>
              <w:jc w:val="center"/>
            </w:pPr>
            <w:r>
              <w:rPr>
                <w:rFonts w:ascii="Arial" w:cs="Arial" w:eastAsia="Arial" w:hAnsi="Arial"/>
                <w:color w:val="A8C8E8"/>
                <w:sz w:val="17"/>
                <w:szCs w:val="17"/>
              </w:rPr>
              <w:t xml:space="preserve">Week 5 of 6 | CPC Exam Preparation Series</w:t>
            </w:r>
          </w:p>
        </w:tc>
      </w:tr>
    </w:tbl>
    <w:p>
      <w:pPr>
        <w:spacing w:after="0" w:before="120"/>
      </w:pPr>
      <w:r>
        <w:t xml:space="preserve"/>
      </w:r>
    </w:p>
    <w:p>
      <w:pPr>
        <w:spacing w:after="50" w:before="40"/>
      </w:pPr>
      <w:r>
        <w:rPr>
          <w:rFonts w:ascii="Arial" w:cs="Arial" w:eastAsia="Arial" w:hAnsi="Arial"/>
          <w:color w:val="1A1A1A"/>
          <w:sz w:val="19"/>
          <w:szCs w:val="19"/>
        </w:rPr>
        <w:t xml:space="preserve">Knowing what to expect on exam day reduces anxiety and helps you perform better. This week covers what to bring, what the check-in process looks like, how to pace yourself through 100 questions, and what to do if you do not pass on your first attempt.</w:t>
      </w:r>
    </w:p>
    <w:p>
      <w:pPr>
        <w:spacing w:after="0" w:before="40"/>
      </w:pPr>
      <w:r>
        <w:t xml:space="preserve"/>
      </w:r>
    </w:p>
    <w:p>
      <w:pPr>
        <w:pBdr>
          <w:bottom w:val="single" w:color="2E75B6" w:sz="6" w:space="1"/>
        </w:pBdr>
        <w:spacing w:after="60" w:before="160"/>
      </w:pPr>
      <w:r>
        <w:rPr>
          <w:rFonts w:ascii="Arial" w:cs="Arial" w:eastAsia="Arial" w:hAnsi="Arial"/>
          <w:b/>
          <w:bCs/>
          <w:color w:val="1F4E79"/>
          <w:sz w:val="24"/>
          <w:szCs w:val="24"/>
        </w:rPr>
        <w:t xml:space="preserve">What to Bring and What to Leave Behind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Pr>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0"/>
              <w:gridCol w:w="4380"/>
            </w:tblGrid>
            <w:tr>
              <w:tc>
                <w:tcPr>
                  <w:tcW w:type="dxa" w:w="480"/>
                  <w:tcBorders>
                    <w:top w:val="single" w:color="CCCCCC" w:sz="1"/>
                    <w:left w:val="single" w:color="CCCCCC" w:sz="1"/>
                    <w:bottom w:val="single" w:color="CCCCCC" w:sz="1"/>
                    <w:right w:val="single" w:color="CCCCCC" w:sz="1"/>
                  </w:tcBorders>
                  <w:shd w:fill="1E6B3C"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
                  </w:r>
                </w:p>
              </w:tc>
              <w:tc>
                <w:tcPr>
                  <w:tcW w:type="dxa" w:w="4380"/>
                  <w:tcBorders>
                    <w:top w:val="single" w:color="CCCCCC" w:sz="1"/>
                    <w:left w:val="single" w:color="CCCCCC" w:sz="1"/>
                    <w:bottom w:val="single" w:color="CCCCCC" w:sz="1"/>
                    <w:right w:val="single" w:color="CCCCCC" w:sz="1"/>
                  </w:tcBorders>
                  <w:shd w:fill="1E6B3C"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Allowed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YES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CPT (AMA Professional Edition), ICD-10-CM, and HCPCS Level II -- print or eBook</w:t>
                  </w:r>
                </w:p>
              </w:tc>
            </w:tr>
            <w:tr>
              <w:tc>
                <w:tcPr>
                  <w:tcW w:type="dxa" w:w="480"/>
                  <w:tcBorders>
                    <w:top w:val="single" w:color="CCCCCC" w:sz="1"/>
                    <w:left w:val="single" w:color="CCCCCC" w:sz="1"/>
                    <w:bottom w:val="single" w:color="CCCCCC" w:sz="1"/>
                    <w:right w:val="single" w:color="CCCCCC" w:sz="1"/>
                  </w:tcBorders>
                  <w:shd w:fill="D6EFE0"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YES</w:t>
                  </w:r>
                </w:p>
              </w:tc>
              <w:tc>
                <w:tcPr>
                  <w:tcW w:type="dxa" w:w="4380"/>
                  <w:tcBorders>
                    <w:top w:val="single" w:color="CCCCCC" w:sz="1"/>
                    <w:left w:val="single" w:color="CCCCCC" w:sz="1"/>
                    <w:bottom w:val="single" w:color="CCCCCC" w:sz="1"/>
                    <w:right w:val="single" w:color="CCCCCC" w:sz="1"/>
                  </w:tcBorders>
                  <w:shd w:fill="D6EFE0" w:val="clear"/>
                  <w:tcMar>
                    <w:top w:type="dxa" w:w="60"/>
                    <w:left w:type="dxa" w:w="140"/>
                    <w:bottom w:type="dxa" w:w="60"/>
                    <w:right w:type="dxa" w:w="140"/>
                  </w:tcMar>
                </w:tcPr>
                <w:p>
                  <w:r>
                    <w:rPr>
                      <w:rFonts w:ascii="Arial" w:cs="Arial" w:eastAsia="Arial" w:hAnsi="Arial"/>
                      <w:color w:val="1A1A1A"/>
                      <w:sz w:val="18"/>
                      <w:szCs w:val="18"/>
                    </w:rPr>
                    <w:t xml:space="preserve">Government-issued photo ID (driver's license or passport)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YES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Clear, unlabeled water bottle or cup of water</w:t>
                  </w:r>
                </w:p>
              </w:tc>
            </w:tr>
            <w:tr>
              <w:tc>
                <w:tcPr>
                  <w:tcW w:type="dxa" w:w="480"/>
                  <w:tcBorders>
                    <w:top w:val="single" w:color="CCCCCC" w:sz="1"/>
                    <w:left w:val="single" w:color="CCCCCC" w:sz="1"/>
                    <w:bottom w:val="single" w:color="CCCCCC" w:sz="1"/>
                    <w:right w:val="single" w:color="CCCCCC" w:sz="1"/>
                  </w:tcBorders>
                  <w:shd w:fill="D6EFE0"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YES</w:t>
                  </w:r>
                </w:p>
              </w:tc>
              <w:tc>
                <w:tcPr>
                  <w:tcW w:type="dxa" w:w="4380"/>
                  <w:tcBorders>
                    <w:top w:val="single" w:color="CCCCCC" w:sz="1"/>
                    <w:left w:val="single" w:color="CCCCCC" w:sz="1"/>
                    <w:bottom w:val="single" w:color="CCCCCC" w:sz="1"/>
                    <w:right w:val="single" w:color="CCCCCC" w:sz="1"/>
                  </w:tcBorders>
                  <w:shd w:fill="D6EFE0" w:val="clear"/>
                  <w:tcMar>
                    <w:top w:type="dxa" w:w="60"/>
                    <w:left w:type="dxa" w:w="140"/>
                    <w:bottom w:type="dxa" w:w="60"/>
                    <w:right w:type="dxa" w:w="140"/>
                  </w:tcMar>
                </w:tcPr>
                <w:p>
                  <w:r>
                    <w:rPr>
                      <w:rFonts w:ascii="Arial" w:cs="Arial" w:eastAsia="Arial" w:hAnsi="Arial"/>
                      <w:color w:val="1A1A1A"/>
                      <w:sz w:val="18"/>
                      <w:szCs w:val="18"/>
                    </w:rPr>
                    <w:t xml:space="preserve">Confirmation/admission ticket (testing center exams)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YES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Prescription eyeglasses if needed</w:t>
                  </w:r>
                </w:p>
              </w:tc>
            </w:tr>
          </w:tbl>
          <w:p/>
        </w:tc>
        <w:tc>
          <w:tcPr>
            <w:tcW w:type="dxa" w:w="4860"/>
            <w:tcBorders>
              <w:top w:val="none" w:color="FFFFFF" w:sz="0"/>
              <w:left w:val="none" w:color="FFFFFF" w:sz="0"/>
              <w:bottom w:val="none" w:color="FFFFFF" w:sz="0"/>
              <w:right w:val="none" w:color="FFFFFF" w:sz="0"/>
            </w:tcBorders>
          </w:tcPr>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0"/>
              <w:gridCol w:w="4380"/>
            </w:tblGrid>
            <w:tr>
              <w:tc>
                <w:tcPr>
                  <w:tcW w:type="dxa" w:w="480"/>
                  <w:tcBorders>
                    <w:top w:val="single" w:color="CCCCCC" w:sz="1"/>
                    <w:left w:val="single" w:color="CCCCCC" w:sz="1"/>
                    <w:bottom w:val="single" w:color="CCCCCC" w:sz="1"/>
                    <w:right w:val="single" w:color="CCCCCC" w:sz="1"/>
                  </w:tcBorders>
                  <w:shd w:fill="8B1A1A"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
                  </w:r>
                </w:p>
              </w:tc>
              <w:tc>
                <w:tcPr>
                  <w:tcW w:type="dxa" w:w="4380"/>
                  <w:tcBorders>
                    <w:top w:val="single" w:color="CCCCCC" w:sz="1"/>
                    <w:left w:val="single" w:color="CCCCCC" w:sz="1"/>
                    <w:bottom w:val="single" w:color="CCCCCC" w:sz="1"/>
                    <w:right w:val="single" w:color="CCCCCC" w:sz="1"/>
                  </w:tcBorders>
                  <w:shd w:fill="8B1A1A"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Not Allowed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8B1A1A"/>
                      <w:sz w:val="17"/>
                      <w:szCs w:val="17"/>
                    </w:rPr>
                    <w:t xml:space="preserve">NO</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Scratch paper, whiteboards, or writing utensils</w:t>
                  </w:r>
                </w:p>
              </w:tc>
            </w:tr>
            <w:tr>
              <w:tc>
                <w:tcPr>
                  <w:tcW w:type="dxa" w:w="480"/>
                  <w:tcBorders>
                    <w:top w:val="single" w:color="CCCCCC" w:sz="1"/>
                    <w:left w:val="single" w:color="CCCCCC" w:sz="1"/>
                    <w:bottom w:val="single" w:color="CCCCCC" w:sz="1"/>
                    <w:right w:val="single" w:color="CCCCCC" w:sz="1"/>
                  </w:tcBorders>
                  <w:shd w:fill="F5DADA" w:val="clear"/>
                  <w:tcMar>
                    <w:top w:type="dxa" w:w="60"/>
                    <w:left w:type="dxa" w:w="120"/>
                    <w:bottom w:type="dxa" w:w="60"/>
                    <w:right w:type="dxa" w:w="120"/>
                  </w:tcMar>
                </w:tcPr>
                <w:p>
                  <w:pPr>
                    <w:jc w:val="center"/>
                  </w:pPr>
                  <w:r>
                    <w:rPr>
                      <w:rFonts w:ascii="Arial" w:cs="Arial" w:eastAsia="Arial" w:hAnsi="Arial"/>
                      <w:b/>
                      <w:bCs/>
                      <w:color w:val="8B1A1A"/>
                      <w:sz w:val="17"/>
                      <w:szCs w:val="17"/>
                    </w:rPr>
                    <w:t xml:space="preserve">NO</w:t>
                  </w:r>
                </w:p>
              </w:tc>
              <w:tc>
                <w:tcPr>
                  <w:tcW w:type="dxa" w:w="4380"/>
                  <w:tcBorders>
                    <w:top w:val="single" w:color="CCCCCC" w:sz="1"/>
                    <w:left w:val="single" w:color="CCCCCC" w:sz="1"/>
                    <w:bottom w:val="single" w:color="CCCCCC" w:sz="1"/>
                    <w:right w:val="single" w:color="CCCCCC" w:sz="1"/>
                  </w:tcBorders>
                  <w:shd w:fill="F5DADA" w:val="clear"/>
                  <w:tcMar>
                    <w:top w:type="dxa" w:w="60"/>
                    <w:left w:type="dxa" w:w="140"/>
                    <w:bottom w:type="dxa" w:w="60"/>
                    <w:right w:type="dxa" w:w="140"/>
                  </w:tcMar>
                </w:tcPr>
                <w:p>
                  <w:r>
                    <w:rPr>
                      <w:rFonts w:ascii="Arial" w:cs="Arial" w:eastAsia="Arial" w:hAnsi="Arial"/>
                      <w:color w:val="1A1A1A"/>
                      <w:sz w:val="18"/>
                      <w:szCs w:val="18"/>
                    </w:rPr>
                    <w:t xml:space="preserve">Cell phones, tablets, smartwatches, or any electronic devices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8B1A1A"/>
                      <w:sz w:val="17"/>
                      <w:szCs w:val="17"/>
                    </w:rPr>
                    <w:t xml:space="preserve">NO</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Food or drinks other than a clear water container</w:t>
                  </w:r>
                </w:p>
              </w:tc>
            </w:tr>
            <w:tr>
              <w:tc>
                <w:tcPr>
                  <w:tcW w:type="dxa" w:w="480"/>
                  <w:tcBorders>
                    <w:top w:val="single" w:color="CCCCCC" w:sz="1"/>
                    <w:left w:val="single" w:color="CCCCCC" w:sz="1"/>
                    <w:bottom w:val="single" w:color="CCCCCC" w:sz="1"/>
                    <w:right w:val="single" w:color="CCCCCC" w:sz="1"/>
                  </w:tcBorders>
                  <w:shd w:fill="F5DADA" w:val="clear"/>
                  <w:tcMar>
                    <w:top w:type="dxa" w:w="60"/>
                    <w:left w:type="dxa" w:w="120"/>
                    <w:bottom w:type="dxa" w:w="60"/>
                    <w:right w:type="dxa" w:w="120"/>
                  </w:tcMar>
                </w:tcPr>
                <w:p>
                  <w:pPr>
                    <w:jc w:val="center"/>
                  </w:pPr>
                  <w:r>
                    <w:rPr>
                      <w:rFonts w:ascii="Arial" w:cs="Arial" w:eastAsia="Arial" w:hAnsi="Arial"/>
                      <w:b/>
                      <w:bCs/>
                      <w:color w:val="8B1A1A"/>
                      <w:sz w:val="17"/>
                      <w:szCs w:val="17"/>
                    </w:rPr>
                    <w:t xml:space="preserve">NO</w:t>
                  </w:r>
                </w:p>
              </w:tc>
              <w:tc>
                <w:tcPr>
                  <w:tcW w:type="dxa" w:w="4380"/>
                  <w:tcBorders>
                    <w:top w:val="single" w:color="CCCCCC" w:sz="1"/>
                    <w:left w:val="single" w:color="CCCCCC" w:sz="1"/>
                    <w:bottom w:val="single" w:color="CCCCCC" w:sz="1"/>
                    <w:right w:val="single" w:color="CCCCCC" w:sz="1"/>
                  </w:tcBorders>
                  <w:shd w:fill="F5DADA" w:val="clear"/>
                  <w:tcMar>
                    <w:top w:type="dxa" w:w="60"/>
                    <w:left w:type="dxa" w:w="140"/>
                    <w:bottom w:type="dxa" w:w="60"/>
                    <w:right w:type="dxa" w:w="140"/>
                  </w:tcMar>
                </w:tcPr>
                <w:p>
                  <w:r>
                    <w:rPr>
                      <w:rFonts w:ascii="Arial" w:cs="Arial" w:eastAsia="Arial" w:hAnsi="Arial"/>
                      <w:color w:val="1A1A1A"/>
                      <w:sz w:val="18"/>
                      <w:szCs w:val="18"/>
                    </w:rPr>
                    <w:t xml:space="preserve">Notes, study guides, or loose papers of any kind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8B1A1A"/>
                      <w:sz w:val="17"/>
                      <w:szCs w:val="17"/>
                    </w:rPr>
                    <w:t xml:space="preserve">NO</w:t>
                  </w:r>
                </w:p>
              </w:tc>
              <w:tc>
                <w:tcPr>
                  <w:tcW w:type="dxa" w:w="4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Physical calculator (an online calculator is provided)</w:t>
                  </w:r>
                </w:p>
              </w:tc>
            </w:tr>
          </w:tbl>
          <w:p/>
        </w:tc>
      </w:tr>
    </w:tbl>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Arriving and Checking In</w:t>
      </w:r>
    </w:p>
    <w:p>
      <w:pPr>
        <w:pStyle w:val="ListParagraph"/>
        <w:numPr>
          <w:ilvl w:val="0"/>
          <w:numId w:val="2"/>
        </w:numPr>
        <w:spacing w:after="20" w:before="20"/>
      </w:pPr>
      <w:r>
        <w:rPr>
          <w:rFonts w:ascii="Arial" w:cs="Arial" w:eastAsia="Arial" w:hAnsi="Arial"/>
          <w:color w:val="1A1A1A"/>
          <w:sz w:val="19"/>
          <w:szCs w:val="19"/>
        </w:rPr>
        <w:t xml:space="preserve">Testing center: Arrive at least 30 minutes before your scheduled time. Bring your printed confirmation and photo ID. You will go through a security check and store your belongings in a provided locker.</w:t>
      </w:r>
    </w:p>
    <w:p>
      <w:pPr>
        <w:pStyle w:val="ListParagraph"/>
        <w:numPr>
          <w:ilvl w:val="0"/>
          <w:numId w:val="2"/>
        </w:numPr>
        <w:spacing w:after="20" w:before="20"/>
      </w:pPr>
      <w:r>
        <w:rPr>
          <w:rFonts w:ascii="Arial" w:cs="Arial" w:eastAsia="Arial" w:hAnsi="Arial"/>
          <w:color w:val="1A1A1A"/>
          <w:sz w:val="19"/>
          <w:szCs w:val="19"/>
        </w:rPr>
        <w:t xml:space="preserve">Live remote: Log in 15 to 30 minutes early. Your proctor will connect via webcam, verify your ID, conduct a 360-degree room scan, and review the rules before starting your exam.</w:t>
      </w:r>
    </w:p>
    <w:p>
      <w:pPr>
        <w:pStyle w:val="ListParagraph"/>
        <w:numPr>
          <w:ilvl w:val="0"/>
          <w:numId w:val="2"/>
        </w:numPr>
        <w:spacing w:after="20" w:before="20"/>
      </w:pPr>
      <w:r>
        <w:rPr>
          <w:rFonts w:ascii="Arial" w:cs="Arial" w:eastAsia="Arial" w:hAnsi="Arial"/>
          <w:color w:val="1A1A1A"/>
          <w:sz w:val="19"/>
          <w:szCs w:val="19"/>
        </w:rPr>
        <w:t xml:space="preserve">Your name on your photo ID must match your AAPC account exactly. If it does not, your attempt may be forfeited. Contact AAPC at least 48 hours before your exam if there is a discrepancy.</w:t>
      </w:r>
    </w:p>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Pacing Yourself Through 100 Questions</w:t>
      </w:r>
    </w:p>
    <w:p>
      <w:pPr>
        <w:spacing w:after="50" w:before="40"/>
      </w:pPr>
      <w:r>
        <w:rPr>
          <w:rFonts w:ascii="Arial" w:cs="Arial" w:eastAsia="Arial" w:hAnsi="Arial"/>
          <w:color w:val="1A1A1A"/>
          <w:sz w:val="19"/>
          <w:szCs w:val="19"/>
        </w:rPr>
        <w:t xml:space="preserve">You have 4 hours for 100 questions -- about 2.4 minutes per question. Use this two-pass strategy:</w:t>
      </w:r>
    </w:p>
    <w:p>
      <w:pPr>
        <w:pStyle w:val="ListParagraph"/>
        <w:numPr>
          <w:ilvl w:val="0"/>
          <w:numId w:val="2"/>
        </w:numPr>
        <w:spacing w:after="20" w:before="20"/>
      </w:pPr>
      <w:r>
        <w:rPr>
          <w:rFonts w:ascii="Arial" w:cs="Arial" w:eastAsia="Arial" w:hAnsi="Arial"/>
          <w:color w:val="1A1A1A"/>
          <w:sz w:val="19"/>
          <w:szCs w:val="19"/>
        </w:rPr>
        <w:t xml:space="preserve">Pass 1: Move through all questions in order. Answer what you know confidently. Flag anything that requires extended book lookup or feels uncertain. Do not spend more than 2 minutes on any single question during this pass.</w:t>
      </w:r>
    </w:p>
    <w:p>
      <w:pPr>
        <w:pStyle w:val="ListParagraph"/>
        <w:numPr>
          <w:ilvl w:val="0"/>
          <w:numId w:val="2"/>
        </w:numPr>
        <w:spacing w:after="20" w:before="20"/>
      </w:pPr>
      <w:r>
        <w:rPr>
          <w:rFonts w:ascii="Arial" w:cs="Arial" w:eastAsia="Arial" w:hAnsi="Arial"/>
          <w:color w:val="1A1A1A"/>
          <w:sz w:val="19"/>
          <w:szCs w:val="19"/>
        </w:rPr>
        <w:t xml:space="preserve">Pass 2: Return to flagged questions with your remaining time. Prioritize questions you feel closest to answering correctly.</w:t>
      </w:r>
    </w:p>
    <w:p>
      <w:pPr>
        <w:pStyle w:val="ListParagraph"/>
        <w:numPr>
          <w:ilvl w:val="0"/>
          <w:numId w:val="2"/>
        </w:numPr>
        <w:spacing w:after="20" w:before="20"/>
      </w:pPr>
      <w:r>
        <w:rPr>
          <w:rFonts w:ascii="Arial" w:cs="Arial" w:eastAsia="Arial" w:hAnsi="Arial"/>
          <w:color w:val="1A1A1A"/>
          <w:sz w:val="19"/>
          <w:szCs w:val="19"/>
        </w:rPr>
        <w:t xml:space="preserve">Save the 10 case studies for last. They take more time but are worth the same 1 point as every other question.</w:t>
      </w:r>
    </w:p>
    <w:p>
      <w:pPr>
        <w:pStyle w:val="ListParagraph"/>
        <w:numPr>
          <w:ilvl w:val="0"/>
          <w:numId w:val="2"/>
        </w:numPr>
        <w:spacing w:after="20" w:before="20"/>
      </w:pPr>
      <w:r>
        <w:rPr>
          <w:rFonts w:ascii="Arial" w:cs="Arial" w:eastAsia="Arial" w:hAnsi="Arial"/>
          <w:color w:val="1A1A1A"/>
          <w:sz w:val="19"/>
          <w:szCs w:val="19"/>
        </w:rPr>
        <w:t xml:space="preserve">Answer every question. There is no penalty for guessing. A blank answer is a guaranteed zero; your best guess gives you a chance.</w:t>
      </w:r>
    </w:p>
    <w:p>
      <w:pPr>
        <w:pStyle w:val="ListParagraph"/>
        <w:numPr>
          <w:ilvl w:val="0"/>
          <w:numId w:val="2"/>
        </w:numPr>
        <w:spacing w:after="20" w:before="20"/>
      </w:pPr>
      <w:r>
        <w:rPr>
          <w:rFonts w:ascii="Arial" w:cs="Arial" w:eastAsia="Arial" w:hAnsi="Arial"/>
          <w:color w:val="1A1A1A"/>
          <w:sz w:val="19"/>
          <w:szCs w:val="19"/>
        </w:rPr>
        <w:t xml:space="preserve">No breaks are built in. The clock does not stop. If you need a bathroom break, go -- but keep it short.</w:t>
      </w:r>
    </w:p>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If You Do Not Pass the First Time</w:t>
      </w:r>
    </w:p>
    <w:p>
      <w:pPr>
        <w:spacing w:after="50" w:before="40"/>
      </w:pPr>
      <w:r>
        <w:rPr>
          <w:rFonts w:ascii="Arial" w:cs="Arial" w:eastAsia="Arial" w:hAnsi="Arial"/>
          <w:color w:val="1A1A1A"/>
          <w:sz w:val="19"/>
          <w:szCs w:val="19"/>
        </w:rPr>
        <w:t xml:space="preserve">With a 2-attempt voucher, you have a safety net. Here is what to know:</w:t>
      </w:r>
    </w:p>
    <w:p>
      <w:pPr>
        <w:pStyle w:val="ListParagraph"/>
        <w:numPr>
          <w:ilvl w:val="0"/>
          <w:numId w:val="2"/>
        </w:numPr>
        <w:spacing w:after="20" w:before="20"/>
      </w:pPr>
      <w:r>
        <w:rPr>
          <w:rFonts w:ascii="Arial" w:cs="Arial" w:eastAsia="Arial" w:hAnsi="Arial"/>
          <w:color w:val="1A1A1A"/>
          <w:sz w:val="19"/>
          <w:szCs w:val="19"/>
        </w:rPr>
        <w:t xml:space="preserve">Results are posted in your AAPC account within 7 to 10 business days. You will receive a pass or fail notification along with a general breakdown by content area.</w:t>
      </w:r>
    </w:p>
    <w:p>
      <w:pPr>
        <w:pStyle w:val="ListParagraph"/>
        <w:numPr>
          <w:ilvl w:val="0"/>
          <w:numId w:val="2"/>
        </w:numPr>
        <w:spacing w:after="20" w:before="20"/>
      </w:pPr>
      <w:r>
        <w:rPr>
          <w:rFonts w:ascii="Arial" w:cs="Arial" w:eastAsia="Arial" w:hAnsi="Arial"/>
          <w:color w:val="1A1A1A"/>
          <w:sz w:val="19"/>
          <w:szCs w:val="19"/>
        </w:rPr>
        <w:t xml:space="preserve">If you do not pass, review the areas of study results in your account to identify where to focus before your second attempt.</w:t>
      </w:r>
    </w:p>
    <w:p>
      <w:pPr>
        <w:pStyle w:val="ListParagraph"/>
        <w:numPr>
          <w:ilvl w:val="0"/>
          <w:numId w:val="2"/>
        </w:numPr>
        <w:spacing w:after="20" w:before="20"/>
      </w:pPr>
      <w:r>
        <w:rPr>
          <w:rFonts w:ascii="Arial" w:cs="Arial" w:eastAsia="Arial" w:hAnsi="Arial"/>
          <w:color w:val="1A1A1A"/>
          <w:sz w:val="19"/>
          <w:szCs w:val="19"/>
        </w:rPr>
        <w:t xml:space="preserve">Your second attempt must be scheduled before your voucher expiration date of January 2027.</w:t>
      </w:r>
    </w:p>
    <w:p>
      <w:pPr>
        <w:pStyle w:val="ListParagraph"/>
        <w:numPr>
          <w:ilvl w:val="0"/>
          <w:numId w:val="2"/>
        </w:numPr>
        <w:spacing w:after="20" w:before="20"/>
      </w:pPr>
      <w:r>
        <w:rPr>
          <w:rFonts w:ascii="Arial" w:cs="Arial" w:eastAsia="Arial" w:hAnsi="Arial"/>
          <w:color w:val="1A1A1A"/>
          <w:sz w:val="19"/>
          <w:szCs w:val="19"/>
        </w:rPr>
        <w:t xml:space="preserve">Do not be discouraged. The first-time pass rate is approximately 50%. Many successful coders passed on their second attempt.</w:t>
      </w:r>
    </w:p>
    <w:p>
      <w:pPr>
        <w:spacing w:after="0" w:before="60"/>
      </w:pPr>
      <w:r>
        <w:t xml:space="preserve"/>
      </w:r>
    </w:p>
    <w:p>
      <w:pPr>
        <w:jc w:val="center"/>
      </w:pPr>
      <w:r>
        <w:rPr>
          <w:rFonts w:ascii="Arial" w:cs="Arial" w:eastAsia="Arial" w:hAnsi="Arial"/>
          <w:i/>
          <w:iCs/>
          <w:color w:val="888888"/>
          <w:sz w:val="17"/>
          <w:szCs w:val="17"/>
        </w:rPr>
        <w:t xml:space="preserve">Questions? Reach out anytime. That is what I am here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2026-04-17T23:51:08.187Z</dcterms:created>
  <dcterms:modified xsi:type="dcterms:W3CDTF">2026-04-17T23:51:08.188Z</dcterms:modified>
</cp:coreProperties>
</file>

<file path=docProps/custom.xml><?xml version="1.0" encoding="utf-8"?>
<Properties xmlns="http://schemas.openxmlformats.org/officeDocument/2006/custom-properties" xmlns:vt="http://schemas.openxmlformats.org/officeDocument/2006/docPropsVTypes"/>
</file>