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65d"/>
          <w:sz w:val="44"/>
          <w:szCs w:val="44"/>
        </w:rPr>
        <w:t xml:space="preserve">CONTENT TEMPLATE</w:t>
      </w:r>
    </w:p>
    <w:p>
      <w:pPr>
        <w:spacing w:after="400"/>
        <w:jc w:val="center"/>
      </w:pPr>
      <w:r>
        <w:rPr>
          <w:rFonts w:ascii="Arial" w:cs="Arial" w:eastAsia="Arial" w:hAnsi="Arial"/>
          <w:color w:val="2c5282"/>
          <w:sz w:val="36"/>
          <w:szCs w:val="36"/>
        </w:rPr>
        <w:t xml:space="preserve">Before Your First Visit</w:t>
      </w:r>
    </w:p>
    <w:p>
      <w:pPr>
        <w:spacing w:after="600"/>
        <w:jc w:val="center"/>
      </w:pPr>
      <w:r>
        <w:rPr>
          <w:i/>
          <w:iCs/>
          <w:color w:val="718096"/>
          <w:sz w:val="24"/>
          <w:szCs w:val="24"/>
        </w:rPr>
        <w:t xml:space="preserve">UNIVERSAL GUIDE — Applies to All CA State Prisons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B6CB0" w:sz="8"/>
              <w:left w:val="single" w:color="2B6CB0" w:sz="8"/>
              <w:bottom w:val="single" w:color="2B6CB0" w:sz="8"/>
              <w:right w:val="single" w:color="2B6CB0" w:sz="8"/>
            </w:tcBorders>
            <w:shd w:fill="EBF8FF" w:val="clear"/>
            <w:tcMar>
              <w:top w:type="dxa" w:w="120"/>
              <w:left w:type="dxa" w:w="200"/>
              <w:bottom w:type="dxa" w:w="120"/>
              <w:right w:type="dxa" w:w="200"/>
            </w:tcMar>
          </w:tcPr>
          <w:p>
            <w:pPr>
              <w:spacing w:after="80"/>
            </w:pPr>
            <w:r>
              <w:rPr>
                <w:b/>
                <w:bCs/>
                <w:color w:val="2B6CB0"/>
              </w:rPr>
              <w:t xml:space="preserve">TEMPLATE PURPOSE</w:t>
            </w:r>
          </w:p>
          <w:p>
            <w:r>
              <w:rPr>
                <w:sz w:val="20"/>
                <w:szCs w:val="20"/>
              </w:rPr>
              <w:t xml:space="preserve">This document defines the content structure for the 'Before Your First Visit' universal guide page. All content here applies to every California state prison. Where facility-specific details are needed (addresses, phone numbers, specific procedures), we direct users to their facility page.</w:t>
            </w:r>
          </w:p>
        </w:tc>
      </w:tr>
    </w:tbl>
    <w:p>
      <w:pPr>
        <w:spacing w:after="400"/>
      </w:pPr>
    </w:p>
    <w:p>
      <w:pPr>
        <w:pStyle w:val="Heading1"/>
      </w:pPr>
      <w:r>
        <w:t xml:space="preserve">1. Page Introduction</w:t>
      </w:r>
    </w:p>
    <w:p>
      <w:pPr>
        <w:pStyle w:val="Heading3"/>
      </w:pPr>
      <w:r>
        <w:t xml:space="preserve">Opening Statement</w:t>
      </w:r>
    </w:p>
    <w:p>
      <w:pPr>
        <w:spacing w:after="100"/>
      </w:pPr>
      <w:r>
        <w:rPr>
          <w:b/>
          <w:bCs/>
        </w:rPr>
        <w:t xml:space="preserve">Content type: </w:t>
      </w:r>
      <w:r>
        <w:t xml:space="preserve">2-3 sentences, warm and direct</w:t>
      </w:r>
    </w:p>
    <w:p>
      <w:pPr>
        <w:spacing w:after="100"/>
      </w:pPr>
      <w:r>
        <w:rPr>
          <w:b/>
          <w:bCs/>
        </w:rPr>
        <w:t xml:space="preserve">Purpose: </w:t>
      </w:r>
      <w:r>
        <w:t xml:space="preserve">Set expectations, acknowledge this is a process that takes time</w:t>
      </w:r>
    </w:p>
    <w:p>
      <w:pPr>
        <w:spacing w:after="200"/>
      </w:pPr>
      <w:r>
        <w:rPr>
          <w:b/>
          <w:bCs/>
        </w:rPr>
        <w:t xml:space="preserve">Key points to hit:</w:t>
      </w:r>
    </w:p>
    <w:p>
      <w:pPr>
        <w:pStyle w:val="ListParagraph"/>
        <w:numPr>
          <w:ilvl w:val="0"/>
          <w:numId w:val="2"/>
        </w:numPr>
      </w:pPr>
      <w:r>
        <w:t xml:space="preserve">You can't just show up—there's an approval process</w:t>
      </w:r>
    </w:p>
    <w:p>
      <w:pPr>
        <w:pStyle w:val="ListParagraph"/>
        <w:numPr>
          <w:ilvl w:val="0"/>
          <w:numId w:val="2"/>
        </w:numPr>
      </w:pPr>
      <w:r>
        <w:t xml:space="preserve">It takes time (weeks, not days)</w:t>
      </w:r>
    </w:p>
    <w:p>
      <w:pPr>
        <w:pStyle w:val="ListParagraph"/>
        <w:numPr>
          <w:ilvl w:val="0"/>
          <w:numId w:val="2"/>
        </w:numPr>
      </w:pPr>
      <w:r>
        <w:t xml:space="preserve">Starting the process now is the most important step</w:t>
      </w:r>
    </w:p>
    <w:p>
      <w:pPr>
        <w:pStyle w:val="ListParagraph"/>
        <w:numPr>
          <w:ilvl w:val="0"/>
          <w:numId w:val="2"/>
        </w:numPr>
        <w:spacing w:after="200"/>
      </w:pPr>
      <w:r>
        <w:t xml:space="preserve">This page walks you through exactly what to 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2400E" w:sz="8"/>
              <w:left w:val="single" w:color="92400E" w:sz="8"/>
              <w:bottom w:val="single" w:color="92400E" w:sz="8"/>
              <w:right w:val="single" w:color="92400E" w:sz="8"/>
            </w:tcBorders>
            <w:shd w:fill="FEF3C7" w:val="clear"/>
            <w:tcMar>
              <w:top w:type="dxa" w:w="120"/>
              <w:left w:type="dxa" w:w="200"/>
              <w:bottom w:type="dxa" w:w="120"/>
              <w:right w:type="dxa" w:w="200"/>
            </w:tcMar>
          </w:tcPr>
          <w:p>
            <w:pPr>
              <w:spacing w:after="80"/>
            </w:pPr>
            <w:r>
              <w:rPr>
                <w:b/>
                <w:bCs/>
                <w:color w:val="92400E"/>
              </w:rPr>
              <w:t xml:space="preserve">⏱️ TIME EXPECTATION CALLOUT</w:t>
            </w:r>
          </w:p>
          <w:p>
            <w:r>
              <w:rPr>
                <w:sz w:val="20"/>
                <w:szCs w:val="20"/>
              </w:rPr>
              <w:t xml:space="preserve">Display prominently:</w:t>
            </w:r>
          </w:p>
          <w:p>
            <w:r>
              <w:rPr>
                <w:sz w:val="20"/>
                <w:szCs w:val="20"/>
              </w:rPr>
              <w:t xml:space="preserve"/>
            </w:r>
          </w:p>
          <w:p>
            <w:r>
              <w:rPr>
                <w:sz w:val="20"/>
                <w:szCs w:val="20"/>
              </w:rPr>
              <w:t xml:space="preserve">'Plan for 2-6 weeks from application to first visit. Some facilities are faster, some slower. Starting the paperwork now is the single most important thing you can do.'</w:t>
            </w:r>
          </w:p>
        </w:tc>
      </w:tr>
    </w:tbl>
    <w:p>
      <w:pPr>
        <w:spacing w:after="400"/>
      </w:pPr>
    </w:p>
    <w:p>
      <w:pPr>
        <w:pStyle w:val="Heading1"/>
      </w:pPr>
      <w:r>
        <w:t xml:space="preserve">2. Who Can Visit (Eligibility Basics)</w:t>
      </w:r>
    </w:p>
    <w:p>
      <w:pPr>
        <w:pStyle w:val="Heading3"/>
      </w:pPr>
      <w:r>
        <w:t xml:space="preserve">General Eligibility</w:t>
      </w:r>
    </w:p>
    <w:p>
      <w:pPr>
        <w:spacing w:after="200"/>
      </w:pPr>
      <w:r>
        <w:rPr>
          <w:b/>
          <w:bCs/>
        </w:rPr>
        <w:t xml:space="preserve">Content: </w:t>
      </w:r>
      <w:r>
        <w:t xml:space="preserve">Brief explanation that most people can visit, but there's a background check</w:t>
      </w:r>
    </w:p>
    <w:p>
      <w:pPr>
        <w:pStyle w:val="ListParagraph"/>
        <w:numPr>
          <w:ilvl w:val="0"/>
          <w:numId w:val="2"/>
        </w:numPr>
      </w:pPr>
      <w:r>
        <w:t xml:space="preserve">Adults (18+): Can apply on their own</w:t>
      </w:r>
    </w:p>
    <w:p>
      <w:pPr>
        <w:pStyle w:val="ListParagraph"/>
        <w:numPr>
          <w:ilvl w:val="0"/>
          <w:numId w:val="2"/>
        </w:numPr>
      </w:pPr>
      <w:r>
        <w:t xml:space="preserve">Minors: Must be accompanied by approved adult; that adult applies on their behalf</w:t>
      </w:r>
    </w:p>
    <w:p>
      <w:pPr>
        <w:pStyle w:val="ListParagraph"/>
        <w:numPr>
          <w:ilvl w:val="0"/>
          <w:numId w:val="2"/>
        </w:numPr>
        <w:spacing w:after="200"/>
      </w:pPr>
      <w:r>
        <w:t xml:space="preserve">Relationship to incarcerated person: Immediate family is usually easiest, but friends can apply too</w:t>
      </w:r>
    </w:p>
    <w:p>
      <w:pPr>
        <w:pStyle w:val="Heading3"/>
      </w:pPr>
      <w:r>
        <w:t xml:space="preserve">What the Background Check Looks At</w:t>
      </w:r>
    </w:p>
    <w:p>
      <w:pPr>
        <w:spacing w:after="200"/>
      </w:pPr>
      <w:r>
        <w:rPr>
          <w:b/>
          <w:bCs/>
        </w:rPr>
        <w:t xml:space="preserve">Content type: </w:t>
      </w:r>
      <w:r>
        <w:t xml:space="preserve">Honest explanation—not scary, but realistic</w:t>
      </w:r>
    </w:p>
    <w:p>
      <w:pPr>
        <w:pStyle w:val="ListParagraph"/>
        <w:numPr>
          <w:ilvl w:val="0"/>
          <w:numId w:val="2"/>
        </w:numPr>
      </w:pPr>
      <w:r>
        <w:t xml:space="preserve">Criminal history (but having a record doesn't automatically disqualify you)</w:t>
      </w:r>
    </w:p>
    <w:p>
      <w:pPr>
        <w:pStyle w:val="ListParagraph"/>
        <w:numPr>
          <w:ilvl w:val="0"/>
          <w:numId w:val="2"/>
        </w:numPr>
      </w:pPr>
      <w:r>
        <w:t xml:space="preserve">Active warrants</w:t>
      </w:r>
    </w:p>
    <w:p>
      <w:pPr>
        <w:pStyle w:val="ListParagraph"/>
        <w:numPr>
          <w:ilvl w:val="0"/>
          <w:numId w:val="2"/>
        </w:numPr>
      </w:pPr>
      <w:r>
        <w:t xml:space="preserve">Parole/probation status</w:t>
      </w:r>
    </w:p>
    <w:p>
      <w:pPr>
        <w:pStyle w:val="ListParagraph"/>
        <w:numPr>
          <w:ilvl w:val="0"/>
          <w:numId w:val="2"/>
        </w:numPr>
        <w:spacing w:after="200"/>
      </w:pPr>
      <w:r>
        <w:t xml:space="preserve">Relationship to the incarcerated person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EXPANDABLE/DROPDOWN: What might disqualify you</w:t>
            </w:r>
          </w:p>
          <w:p>
            <w:r>
              <w:rPr>
                <w:sz w:val="20"/>
                <w:szCs w:val="20"/>
              </w:rPr>
              <w:t xml:space="preserve">Content: List of common disqualifiers with context.</w:t>
            </w:r>
          </w:p>
          <w:p>
            <w:r>
              <w:rPr>
                <w:sz w:val="20"/>
                <w:szCs w:val="20"/>
              </w:rPr>
              <w:t xml:space="preserve">Tone: Matter-of-fact, not alarming.</w:t>
            </w:r>
          </w:p>
          <w:p>
            <w:r>
              <w:rPr>
                <w:sz w:val="20"/>
                <w:szCs w:val="20"/>
              </w:rPr>
              <w:t xml:space="preserve"/>
            </w:r>
          </w:p>
          <w:p>
            <w:r>
              <w:rPr>
                <w:sz w:val="20"/>
                <w:szCs w:val="20"/>
              </w:rPr>
              <w:t xml:space="preserve">• Active warrant</w:t>
            </w:r>
          </w:p>
          <w:p>
            <w:r>
              <w:rPr>
                <w:sz w:val="20"/>
                <w:szCs w:val="20"/>
              </w:rPr>
              <w:t xml:space="preserve">• Currently on parole/probation for certain offenses (varies)</w:t>
            </w:r>
          </w:p>
          <w:p>
            <w:r>
              <w:rPr>
                <w:sz w:val="20"/>
                <w:szCs w:val="20"/>
              </w:rPr>
              <w:t xml:space="preserve">• Previous visitor violations at any CDCR facility</w:t>
            </w:r>
          </w:p>
          <w:p>
            <w:r>
              <w:rPr>
                <w:sz w:val="20"/>
                <w:szCs w:val="20"/>
              </w:rPr>
              <w:t xml:space="preserve">• Certain felony convictions (but many felonies do NOT disqualify—it depends)</w:t>
            </w:r>
          </w:p>
          <w:p>
            <w:r>
              <w:rPr>
                <w:sz w:val="20"/>
                <w:szCs w:val="20"/>
              </w:rPr>
              <w:t xml:space="preserve">• Being a victim in the case (sometimes)</w:t>
            </w:r>
          </w:p>
          <w:p>
            <w:r>
              <w:rPr>
                <w:sz w:val="20"/>
                <w:szCs w:val="20"/>
              </w:rPr>
              <w:t xml:space="preserve"/>
            </w:r>
          </w:p>
          <w:p>
            <w:r>
              <w:rPr>
                <w:sz w:val="20"/>
                <w:szCs w:val="20"/>
              </w:rPr>
              <w:t xml:space="preserve">Include note: 'If you're unsure whether something in your history might be an issue, apply anyway. The worst that happens is they say no, and you may be able to appeal.'</w:t>
            </w:r>
          </w:p>
        </w:tc>
      </w:tr>
    </w:tbl>
    <w:p>
      <w:pPr>
        <w:spacing w:after="400"/>
      </w:pPr>
    </w:p>
    <w:p>
      <w:pPr>
        <w:pStyle w:val="Heading1"/>
      </w:pPr>
      <w:r>
        <w:t xml:space="preserve">3. The Application Process</w:t>
      </w:r>
    </w:p>
    <w:p>
      <w:pPr>
        <w:pStyle w:val="Heading3"/>
      </w:pPr>
      <w:r>
        <w:t xml:space="preserve">Overview</w:t>
      </w:r>
    </w:p>
    <w:p>
      <w:pPr>
        <w:spacing w:after="200"/>
      </w:pPr>
      <w:r>
        <w:t xml:space="preserve">Explain that you fill out a form (CDCR 106), it gets submitted, and then you wait for approval. Same form for all California state prisons.</w:t>
      </w:r>
    </w:p>
    <w:p>
      <w:pPr>
        <w:pStyle w:val="Heading3"/>
      </w:pPr>
      <w:r>
        <w:t xml:space="preserve">Step 1: Get the Form</w:t>
      </w:r>
    </w:p>
    <w:p>
      <w:pPr>
        <w:spacing w:after="200"/>
      </w:pPr>
      <w:r>
        <w:rPr>
          <w:b/>
          <w:bCs/>
        </w:rPr>
        <w:t xml:space="preserve">Content:</w:t>
      </w:r>
    </w:p>
    <w:p>
      <w:pPr>
        <w:pStyle w:val="ListParagraph"/>
        <w:numPr>
          <w:ilvl w:val="0"/>
          <w:numId w:val="2"/>
        </w:numPr>
      </w:pPr>
      <w:r>
        <w:t xml:space="preserve">The form is called CDCR Form 106 (Visitor/Identification Questionnaire)</w:t>
      </w:r>
    </w:p>
    <w:p>
      <w:pPr>
        <w:pStyle w:val="ListParagraph"/>
        <w:numPr>
          <w:ilvl w:val="0"/>
          <w:numId w:val="2"/>
        </w:numPr>
        <w:spacing w:after="200"/>
      </w:pPr>
      <w:r>
        <w:t xml:space="preserve">It's the same form for all California state prisons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53C9A" w:sz="8"/>
              <w:left w:val="single" w:color="553C9A" w:sz="8"/>
              <w:bottom w:val="single" w:color="553C9A" w:sz="8"/>
              <w:right w:val="single" w:color="553C9A" w:sz="8"/>
            </w:tcBorders>
            <w:shd w:fill="E9D8FD" w:val="clear"/>
            <w:tcMar>
              <w:top w:type="dxa" w:w="120"/>
              <w:left w:type="dxa" w:w="200"/>
              <w:bottom w:type="dxa" w:w="120"/>
              <w:right w:type="dxa" w:w="200"/>
            </w:tcMar>
          </w:tcPr>
          <w:p>
            <w:pPr>
              <w:spacing w:after="80"/>
            </w:pPr>
            <w:r>
              <w:rPr>
                <w:b/>
                <w:bCs/>
                <w:color w:val="553C9A"/>
              </w:rPr>
              <w:t xml:space="preserve">🔗 INTERACTIVE ELEMENT: Form Access</w:t>
            </w:r>
          </w:p>
          <w:p>
            <w:r>
              <w:rPr>
                <w:sz w:val="20"/>
                <w:szCs w:val="20"/>
              </w:rPr>
              <w:t xml:space="preserve">• Button/Link: 'Download CDCR Form 106 (PDF)' → Link to official CDCR form</w:t>
            </w:r>
          </w:p>
          <w:p>
            <w:r>
              <w:rPr>
                <w:sz w:val="20"/>
                <w:szCs w:val="20"/>
              </w:rPr>
              <w:t xml:space="preserve">• Alternative: Link to CDCR online submission if available</w:t>
            </w:r>
          </w:p>
        </w:tc>
      </w:tr>
    </w:tbl>
    <w:p>
      <w:pPr>
        <w:spacing w:after="200"/>
      </w:pPr>
    </w:p>
    <w:p>
      <w:pPr>
        <w:pStyle w:val="Heading3"/>
      </w:pPr>
      <w:r>
        <w:t xml:space="preserve">Step 2: Fill Out the Form</w:t>
      </w:r>
    </w:p>
    <w:p>
      <w:pPr>
        <w:spacing w:after="200"/>
      </w:pPr>
      <w:r>
        <w:rPr>
          <w:b/>
          <w:bCs/>
        </w:rPr>
        <w:t xml:space="preserve">Content: </w:t>
      </w:r>
      <w:r>
        <w:t xml:space="preserve">Walk through each section of the form with tips</w:t>
      </w:r>
    </w:p>
    <w:p>
      <w:pPr>
        <w:pStyle w:val="ListParagraph"/>
        <w:numPr>
          <w:ilvl w:val="0"/>
          <w:numId w:val="2"/>
        </w:numPr>
      </w:pPr>
      <w:r>
        <w:rPr>
          <w:b/>
          <w:bCs/>
        </w:rPr>
        <w:t xml:space="preserve">Your information: </w:t>
      </w:r>
      <w:r>
        <w:t xml:space="preserve">Name, DOB, address, ID numbers</w:t>
      </w:r>
    </w:p>
    <w:p>
      <w:pPr>
        <w:pStyle w:val="ListParagraph"/>
        <w:numPr>
          <w:ilvl w:val="1"/>
          <w:numId w:val="2"/>
        </w:numPr>
      </w:pPr>
      <w:r>
        <w:t xml:space="preserve">Tip: Use your legal name exactly as it appears on your ID</w:t>
      </w:r>
    </w:p>
    <w:p>
      <w:pPr>
        <w:pStyle w:val="ListParagraph"/>
        <w:numPr>
          <w:ilvl w:val="0"/>
          <w:numId w:val="2"/>
        </w:numPr>
      </w:pPr>
      <w:r>
        <w:rPr>
          <w:b/>
          <w:bCs/>
        </w:rPr>
        <w:t xml:space="preserve">Their information: </w:t>
      </w:r>
      <w:r>
        <w:t xml:space="preserve">Incarcerated person's name and CDCR number</w:t>
      </w:r>
    </w:p>
    <w:p>
      <w:pPr>
        <w:pStyle w:val="ListParagraph"/>
        <w:numPr>
          <w:ilvl w:val="1"/>
          <w:numId w:val="2"/>
        </w:numPr>
      </w:pPr>
      <w:r>
        <w:t xml:space="preserve">Tip: The CDCR number is required—get this from your loved one or look it up (link below)</w:t>
      </w:r>
    </w:p>
    <w:p>
      <w:pPr>
        <w:pStyle w:val="ListParagraph"/>
        <w:numPr>
          <w:ilvl w:val="0"/>
          <w:numId w:val="2"/>
        </w:numPr>
      </w:pPr>
      <w:r>
        <w:rPr>
          <w:b/>
          <w:bCs/>
        </w:rPr>
        <w:t xml:space="preserve">Relationship: </w:t>
      </w:r>
      <w:r>
        <w:t xml:space="preserve">How you know them</w:t>
      </w:r>
    </w:p>
    <w:p>
      <w:pPr>
        <w:pStyle w:val="ListParagraph"/>
        <w:numPr>
          <w:ilvl w:val="0"/>
          <w:numId w:val="2"/>
        </w:numPr>
      </w:pPr>
      <w:r>
        <w:rPr>
          <w:b/>
          <w:bCs/>
        </w:rPr>
        <w:t xml:space="preserve">Criminal history section: </w:t>
      </w:r>
      <w:r>
        <w:t xml:space="preserve">Be honest—lying is worse than the truth</w:t>
      </w:r>
    </w:p>
    <w:p>
      <w:pPr>
        <w:pStyle w:val="ListParagraph"/>
        <w:numPr>
          <w:ilvl w:val="0"/>
          <w:numId w:val="2"/>
        </w:numPr>
        <w:spacing w:after="200"/>
      </w:pPr>
      <w:r>
        <w:rPr>
          <w:b/>
          <w:bCs/>
        </w:rPr>
        <w:t xml:space="preserve">Minor children: </w:t>
      </w:r>
      <w:r>
        <w:t xml:space="preserve">List any kids you want to bring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53C9A" w:sz="8"/>
              <w:left w:val="single" w:color="553C9A" w:sz="8"/>
              <w:bottom w:val="single" w:color="553C9A" w:sz="8"/>
              <w:right w:val="single" w:color="553C9A" w:sz="8"/>
            </w:tcBorders>
            <w:shd w:fill="E9D8FD" w:val="clear"/>
            <w:tcMar>
              <w:top w:type="dxa" w:w="120"/>
              <w:left w:type="dxa" w:w="200"/>
              <w:bottom w:type="dxa" w:w="120"/>
              <w:right w:type="dxa" w:w="200"/>
            </w:tcMar>
          </w:tcPr>
          <w:p>
            <w:pPr>
              <w:spacing w:after="80"/>
            </w:pPr>
            <w:r>
              <w:rPr>
                <w:b/>
                <w:bCs/>
                <w:color w:val="553C9A"/>
              </w:rPr>
              <w:t xml:space="preserve">🔗 INTERACTIVE ELEMENT: CDCR Number Lookup</w:t>
            </w:r>
          </w:p>
          <w:p>
            <w:r>
              <w:rPr>
                <w:sz w:val="20"/>
                <w:szCs w:val="20"/>
              </w:rPr>
              <w:t xml:space="preserve">Link to Inmate Locator tool: https://inmatelocator.cdcr.ca.gov/</w:t>
            </w:r>
          </w:p>
          <w:p>
            <w:r>
              <w:rPr>
                <w:sz w:val="20"/>
                <w:szCs w:val="20"/>
              </w:rPr>
              <w:t xml:space="preserve"/>
            </w:r>
          </w:p>
          <w:p>
            <w:r>
              <w:rPr>
                <w:sz w:val="20"/>
                <w:szCs w:val="20"/>
              </w:rPr>
              <w:t xml:space="preserve">Brief instructions: 'If you don't know their CDCR number, you can look it up here using their name.'</w:t>
            </w:r>
          </w:p>
        </w:tc>
      </w:tr>
    </w:tbl>
    <w:p>
      <w:pPr>
        <w:spacing w:after="200"/>
      </w:pPr>
    </w:p>
    <w:p>
      <w:pPr>
        <w:pStyle w:val="Heading3"/>
      </w:pPr>
      <w:r>
        <w:t xml:space="preserve">Step 3: Submit the Form</w:t>
      </w:r>
    </w:p>
    <w:p>
      <w:pPr>
        <w:spacing w:after="200"/>
      </w:pPr>
      <w:r>
        <w:t xml:space="preserve">General guidance on submission:</w:t>
      </w:r>
    </w:p>
    <w:p>
      <w:pPr>
        <w:pStyle w:val="ListParagraph"/>
        <w:numPr>
          <w:ilvl w:val="0"/>
          <w:numId w:val="2"/>
        </w:numPr>
      </w:pPr>
      <w:r>
        <w:t xml:space="preserve">Forms are typically mailed to the facility's visiting office</w:t>
      </w:r>
    </w:p>
    <w:p>
      <w:pPr>
        <w:pStyle w:val="ListParagraph"/>
        <w:numPr>
          <w:ilvl w:val="0"/>
          <w:numId w:val="2"/>
        </w:numPr>
      </w:pPr>
      <w:r>
        <w:t xml:space="preserve">Some facilities accept email or fax—check your facility's page</w:t>
      </w:r>
    </w:p>
    <w:p>
      <w:pPr>
        <w:pStyle w:val="ListParagraph"/>
        <w:numPr>
          <w:ilvl w:val="0"/>
          <w:numId w:val="2"/>
        </w:numPr>
        <w:spacing w:after="200"/>
      </w:pPr>
      <w:r>
        <w:t xml:space="preserve">Keep a copy of everything you send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8"/>
              <w:left w:val="single" w:color="C53030" w:sz="8"/>
              <w:bottom w:val="single" w:color="C53030" w:sz="8"/>
              <w:right w:val="single" w:color="C53030" w:sz="8"/>
            </w:tcBorders>
            <w:shd w:fill="FED7D7" w:val="clear"/>
            <w:tcMar>
              <w:top w:type="dxa" w:w="120"/>
              <w:left w:type="dxa" w:w="200"/>
              <w:bottom w:type="dxa" w:w="120"/>
              <w:right w:type="dxa" w:w="200"/>
            </w:tcMar>
          </w:tcPr>
          <w:p>
            <w:pPr>
              <w:spacing w:after="80"/>
            </w:pPr>
            <w:r>
              <w:rPr>
                <w:b/>
                <w:bCs/>
                <w:color w:val="C53030"/>
              </w:rPr>
              <w:t xml:space="preserve">📍 CHECK YOUR FACILITY PAGE</w:t>
            </w:r>
          </w:p>
          <w:p>
            <w:r>
              <w:rPr>
                <w:sz w:val="20"/>
                <w:szCs w:val="20"/>
              </w:rPr>
              <w:t xml:space="preserve">For the specific mailing address, email, or fax number for your loved one's facility, see the facility-specific page.</w:t>
            </w:r>
          </w:p>
          <w:p>
            <w:r>
              <w:rPr>
                <w:sz w:val="20"/>
                <w:szCs w:val="20"/>
              </w:rPr>
              <w:t xml:space="preserve"/>
            </w:r>
          </w:p>
          <w:p>
            <w:r>
              <w:rPr>
                <w:sz w:val="20"/>
                <w:szCs w:val="20"/>
              </w:rPr>
              <w:t xml:space="preserve">[Link to facility selector or list]</w:t>
            </w:r>
          </w:p>
        </w:tc>
      </w:tr>
    </w:tbl>
    <w:p>
      <w:pPr>
        <w:spacing w:after="200"/>
      </w:pPr>
    </w:p>
    <w:p>
      <w:pPr>
        <w:pStyle w:val="Heading3"/>
      </w:pPr>
      <w:r>
        <w:t xml:space="preserve">Step 4: Wait for Approval</w:t>
      </w:r>
    </w:p>
    <w:p>
      <w:pPr>
        <w:spacing w:after="200"/>
      </w:pPr>
      <w:r>
        <w:rPr>
          <w:b/>
          <w:bCs/>
        </w:rPr>
        <w:t xml:space="preserve">Content:</w:t>
      </w:r>
    </w:p>
    <w:p>
      <w:pPr>
        <w:pStyle w:val="ListParagraph"/>
        <w:numPr>
          <w:ilvl w:val="0"/>
          <w:numId w:val="2"/>
        </w:numPr>
      </w:pPr>
      <w:r>
        <w:t xml:space="preserve">What happens after you submit: background check runs, facility reviews</w:t>
      </w:r>
    </w:p>
    <w:p>
      <w:pPr>
        <w:pStyle w:val="ListParagraph"/>
        <w:numPr>
          <w:ilvl w:val="0"/>
          <w:numId w:val="2"/>
        </w:numPr>
      </w:pPr>
      <w:r>
        <w:t xml:space="preserve">How you'll find out: usually a letter in the mail; your loved one may hear first</w:t>
      </w:r>
    </w:p>
    <w:p>
      <w:pPr>
        <w:pStyle w:val="ListParagraph"/>
        <w:numPr>
          <w:ilvl w:val="0"/>
          <w:numId w:val="2"/>
        </w:numPr>
      </w:pPr>
      <w:r>
        <w:t xml:space="preserve">Typical wait: 2-6 weeks depending on facility</w:t>
      </w:r>
    </w:p>
    <w:p>
      <w:pPr>
        <w:pStyle w:val="ListParagraph"/>
        <w:numPr>
          <w:ilvl w:val="0"/>
          <w:numId w:val="2"/>
        </w:numPr>
        <w:spacing w:after="200"/>
      </w:pPr>
      <w:r>
        <w:t xml:space="preserve">If you haven't heard back in 4-6 weeks, it's okay to follow 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3030" w:sz="8"/>
              <w:left w:val="single" w:color="C53030" w:sz="8"/>
              <w:bottom w:val="single" w:color="C53030" w:sz="8"/>
              <w:right w:val="single" w:color="C53030" w:sz="8"/>
            </w:tcBorders>
            <w:shd w:fill="FED7D7" w:val="clear"/>
            <w:tcMar>
              <w:top w:type="dxa" w:w="120"/>
              <w:left w:type="dxa" w:w="200"/>
              <w:bottom w:type="dxa" w:w="120"/>
              <w:right w:type="dxa" w:w="200"/>
            </w:tcMar>
          </w:tcPr>
          <w:p>
            <w:pPr>
              <w:spacing w:after="80"/>
            </w:pPr>
            <w:r>
              <w:rPr>
                <w:b/>
                <w:bCs/>
                <w:color w:val="C53030"/>
              </w:rPr>
              <w:t xml:space="preserve">📍 CHECK YOUR FACILITY PAGE</w:t>
            </w:r>
          </w:p>
          <w:p>
            <w:r>
              <w:rPr>
                <w:sz w:val="20"/>
                <w:szCs w:val="20"/>
              </w:rPr>
              <w:t xml:space="preserve">For the phone number to call about your application status, see your facility's page.</w:t>
            </w:r>
          </w:p>
        </w:tc>
      </w:tr>
    </w:tbl>
    <w:p>
      <w:pPr>
        <w:spacing w:after="400"/>
      </w:pPr>
    </w:p>
    <w:p>
      <w:pPr>
        <w:pStyle w:val="Heading1"/>
      </w:pPr>
      <w:r>
        <w:t xml:space="preserve">4. If Your Application Is Denied</w:t>
      </w:r>
    </w:p>
    <w:p>
      <w:pPr>
        <w:pStyle w:val="Heading3"/>
      </w:pPr>
      <w:r>
        <w:t xml:space="preserve">Understanding the Denial</w:t>
      </w:r>
    </w:p>
    <w:p>
      <w:pPr>
        <w:spacing w:after="200"/>
      </w:pPr>
      <w:r>
        <w:rPr>
          <w:b/>
          <w:bCs/>
        </w:rPr>
        <w:t xml:space="preserve">Content: </w:t>
      </w:r>
      <w:r>
        <w:t xml:space="preserve">Compassionate but practical</w:t>
      </w:r>
    </w:p>
    <w:p>
      <w:pPr>
        <w:pStyle w:val="ListParagraph"/>
        <w:numPr>
          <w:ilvl w:val="0"/>
          <w:numId w:val="2"/>
        </w:numPr>
      </w:pPr>
      <w:r>
        <w:t xml:space="preserve">You'll receive a letter explaining why (though sometimes the reasons are vague)</w:t>
      </w:r>
    </w:p>
    <w:p>
      <w:pPr>
        <w:pStyle w:val="ListParagraph"/>
        <w:numPr>
          <w:ilvl w:val="0"/>
          <w:numId w:val="2"/>
        </w:numPr>
      </w:pPr>
      <w:r>
        <w:t xml:space="preserve">A denial isn't always permanent</w:t>
      </w:r>
    </w:p>
    <w:p>
      <w:pPr>
        <w:pStyle w:val="ListParagraph"/>
        <w:numPr>
          <w:ilvl w:val="0"/>
          <w:numId w:val="2"/>
        </w:numPr>
        <w:spacing w:after="200"/>
      </w:pPr>
      <w:r>
        <w:t xml:space="preserve">You have the right to appeal</w:t>
      </w:r>
    </w:p>
    <w:p>
      <w:pPr>
        <w:pStyle w:val="Heading3"/>
      </w:pPr>
      <w:r>
        <w:t xml:space="preserve">Common Reasons for Denial</w:t>
      </w:r>
    </w:p>
    <w:p>
      <w:pPr>
        <w:pStyle w:val="ListParagraph"/>
        <w:numPr>
          <w:ilvl w:val="0"/>
          <w:numId w:val="2"/>
        </w:numPr>
      </w:pPr>
      <w:r>
        <w:t xml:space="preserve">Active warrant (clear it up and reapply)</w:t>
      </w:r>
    </w:p>
    <w:p>
      <w:pPr>
        <w:pStyle w:val="ListParagraph"/>
        <w:numPr>
          <w:ilvl w:val="0"/>
          <w:numId w:val="2"/>
        </w:numPr>
      </w:pPr>
      <w:r>
        <w:t xml:space="preserve">Incomplete form (resubmit with missing info)</w:t>
      </w:r>
    </w:p>
    <w:p>
      <w:pPr>
        <w:pStyle w:val="ListParagraph"/>
        <w:numPr>
          <w:ilvl w:val="0"/>
          <w:numId w:val="2"/>
        </w:numPr>
      </w:pPr>
      <w:r>
        <w:t xml:space="preserve">Criminal history concerns (may be able to appeal with explanation)</w:t>
      </w:r>
    </w:p>
    <w:p>
      <w:pPr>
        <w:pStyle w:val="ListParagraph"/>
        <w:numPr>
          <w:ilvl w:val="0"/>
          <w:numId w:val="2"/>
        </w:numPr>
        <w:spacing w:after="200"/>
      </w:pPr>
      <w:r>
        <w:t xml:space="preserve">Previous violations (harder to overcome, but not impossible)</w:t>
      </w:r>
    </w:p>
    <w:p>
      <w:pPr>
        <w:pStyle w:val="Heading3"/>
      </w:pPr>
      <w:r>
        <w:t xml:space="preserve">The Appeal Process</w:t>
      </w:r>
    </w:p>
    <w:p>
      <w:pPr>
        <w:spacing w:after="200"/>
      </w:pPr>
      <w:r>
        <w:rPr>
          <w:b/>
          <w:bCs/>
        </w:rPr>
        <w:t xml:space="preserve">Content: </w:t>
      </w:r>
      <w:r>
        <w:t xml:space="preserve">Step-by-step what to do</w:t>
      </w:r>
    </w:p>
    <w:p>
      <w:pPr>
        <w:pStyle w:val="ListParagraph"/>
        <w:numPr>
          <w:ilvl w:val="0"/>
          <w:numId w:val="2"/>
        </w:numPr>
      </w:pPr>
      <w:r>
        <w:t xml:space="preserve">Timeline: Usually 30 days from denial letter to file appeal</w:t>
      </w:r>
    </w:p>
    <w:p>
      <w:pPr>
        <w:pStyle w:val="ListParagraph"/>
        <w:numPr>
          <w:ilvl w:val="0"/>
          <w:numId w:val="2"/>
        </w:numPr>
      </w:pPr>
      <w:r>
        <w:t xml:space="preserve">Write a letter explaining your situation</w:t>
      </w:r>
    </w:p>
    <w:p>
      <w:pPr>
        <w:pStyle w:val="ListParagraph"/>
        <w:numPr>
          <w:ilvl w:val="0"/>
          <w:numId w:val="2"/>
        </w:numPr>
      </w:pPr>
      <w:r>
        <w:t xml:space="preserve">Include any documentation that supports your case</w:t>
      </w:r>
    </w:p>
    <w:p>
      <w:pPr>
        <w:pStyle w:val="ListParagraph"/>
        <w:numPr>
          <w:ilvl w:val="0"/>
          <w:numId w:val="2"/>
        </w:numPr>
        <w:spacing w:after="200"/>
      </w:pPr>
      <w:r>
        <w:t xml:space="preserve">Send to the address listed on your denial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553C9A" w:sz="8"/>
              <w:left w:val="single" w:color="553C9A" w:sz="8"/>
              <w:bottom w:val="single" w:color="553C9A" w:sz="8"/>
              <w:right w:val="single" w:color="553C9A" w:sz="8"/>
            </w:tcBorders>
            <w:shd w:fill="E9D8FD" w:val="clear"/>
            <w:tcMar>
              <w:top w:type="dxa" w:w="120"/>
              <w:left w:type="dxa" w:w="200"/>
              <w:bottom w:type="dxa" w:w="120"/>
              <w:right w:type="dxa" w:w="200"/>
            </w:tcMar>
          </w:tcPr>
          <w:p>
            <w:pPr>
              <w:spacing w:after="80"/>
            </w:pPr>
            <w:r>
              <w:rPr>
                <w:b/>
                <w:bCs/>
                <w:color w:val="553C9A"/>
              </w:rPr>
              <w:t xml:space="preserve">📄 DOWNLOADABLE RESOURCE: Appeal Letter Template</w:t>
            </w:r>
          </w:p>
          <w:p>
            <w:r>
              <w:rPr>
                <w:sz w:val="20"/>
                <w:szCs w:val="20"/>
              </w:rPr>
              <w:t xml:space="preserve">Provide a simple template people can customize:</w:t>
            </w:r>
          </w:p>
          <w:p>
            <w:r>
              <w:rPr>
                <w:sz w:val="20"/>
                <w:szCs w:val="20"/>
              </w:rPr>
              <w:t xml:space="preserve"/>
            </w:r>
          </w:p>
          <w:p>
            <w:r>
              <w:rPr>
                <w:sz w:val="20"/>
                <w:szCs w:val="20"/>
              </w:rPr>
              <w:t xml:space="preserve">• How to address the letter</w:t>
            </w:r>
          </w:p>
          <w:p>
            <w:r>
              <w:rPr>
                <w:sz w:val="20"/>
                <w:szCs w:val="20"/>
              </w:rPr>
              <w:t xml:space="preserve">• What information to include (your info, CDCR number, denial date, reason given)</w:t>
            </w:r>
          </w:p>
          <w:p>
            <w:r>
              <w:rPr>
                <w:sz w:val="20"/>
                <w:szCs w:val="20"/>
              </w:rPr>
              <w:t xml:space="preserve">• Sample language for common situations</w:t>
            </w:r>
          </w:p>
          <w:p>
            <w:r>
              <w:rPr>
                <w:sz w:val="20"/>
                <w:szCs w:val="20"/>
              </w:rPr>
              <w:t xml:space="preserve">• Reminder to keep a copy</w:t>
            </w:r>
          </w:p>
        </w:tc>
      </w:tr>
    </w:tbl>
    <w:p>
      <w:pPr>
        <w:spacing w:after="400"/>
      </w:pPr>
    </w:p>
    <w:p>
      <w:pPr>
        <w:pStyle w:val="Heading1"/>
      </w:pPr>
      <w:r>
        <w:t xml:space="preserve">5. Special Situations</w:t>
      </w:r>
    </w:p>
    <w:p>
      <w:pPr>
        <w:spacing w:after="200"/>
      </w:pPr>
      <w:r>
        <w:rPr>
          <w:b/>
          <w:bCs/>
        </w:rPr>
        <w:t xml:space="preserve">Format: </w:t>
      </w:r>
      <w:r>
        <w:t xml:space="preserve">Each of these should be an expandable/dropdown section so the page doesn't get overwhelming. People click to expand only what's relevant to them.</w:t>
      </w:r>
    </w:p>
    <w:p>
      <w:pPr>
        <w:pStyle w:val="Heading3"/>
      </w:pPr>
      <w:r>
        <w:t xml:space="preserve">EXPANDABLE: If You Have a Criminal Record</w:t>
      </w:r>
    </w:p>
    <w:p>
      <w:pPr>
        <w:pStyle w:val="ListParagraph"/>
        <w:numPr>
          <w:ilvl w:val="0"/>
          <w:numId w:val="2"/>
        </w:numPr>
      </w:pPr>
      <w:r>
        <w:t xml:space="preserve">Having a record doesn't automatically disqualify you</w:t>
      </w:r>
    </w:p>
    <w:p>
      <w:pPr>
        <w:pStyle w:val="ListParagraph"/>
        <w:numPr>
          <w:ilvl w:val="0"/>
          <w:numId w:val="2"/>
        </w:numPr>
      </w:pPr>
      <w:r>
        <w:t xml:space="preserve">Factors that matter: how long ago, what type of offense, current status</w:t>
      </w:r>
    </w:p>
    <w:p>
      <w:pPr>
        <w:pStyle w:val="ListParagraph"/>
        <w:numPr>
          <w:ilvl w:val="0"/>
          <w:numId w:val="2"/>
        </w:numPr>
      </w:pPr>
      <w:r>
        <w:t xml:space="preserve">Be completely honest on the form—they will find out anyway</w:t>
      </w:r>
    </w:p>
    <w:p>
      <w:pPr>
        <w:pStyle w:val="ListParagraph"/>
        <w:numPr>
          <w:ilvl w:val="0"/>
          <w:numId w:val="2"/>
        </w:numPr>
        <w:spacing w:after="200"/>
      </w:pPr>
      <w:r>
        <w:t xml:space="preserve">If denied, you can often appeal with documentation of rehabilitation</w:t>
      </w:r>
    </w:p>
    <w:p>
      <w:pPr>
        <w:pStyle w:val="Heading3"/>
      </w:pPr>
      <w:r>
        <w:t xml:space="preserve">EXPANDABLE: If You're on Parole or Probation</w:t>
      </w:r>
    </w:p>
    <w:p>
      <w:pPr>
        <w:pStyle w:val="ListParagraph"/>
        <w:numPr>
          <w:ilvl w:val="0"/>
          <w:numId w:val="2"/>
        </w:numPr>
      </w:pPr>
      <w:r>
        <w:t xml:space="preserve">You may need permission from your parole/probation officer</w:t>
      </w:r>
    </w:p>
    <w:p>
      <w:pPr>
        <w:pStyle w:val="ListParagraph"/>
        <w:numPr>
          <w:ilvl w:val="0"/>
          <w:numId w:val="2"/>
        </w:numPr>
      </w:pPr>
      <w:r>
        <w:t xml:space="preserve">Some P.O.s are fine with it, some aren't—ask first</w:t>
      </w:r>
    </w:p>
    <w:p>
      <w:pPr>
        <w:pStyle w:val="ListParagraph"/>
        <w:numPr>
          <w:ilvl w:val="0"/>
          <w:numId w:val="2"/>
        </w:numPr>
        <w:spacing w:after="200"/>
      </w:pPr>
      <w:r>
        <w:t xml:space="preserve">Get approval in writing if possible</w:t>
      </w:r>
    </w:p>
    <w:p>
      <w:pPr>
        <w:pStyle w:val="Heading3"/>
      </w:pPr>
      <w:r>
        <w:t xml:space="preserve">EXPANDABLE: If You Were Previously Incarcerated at CDCR</w:t>
      </w:r>
    </w:p>
    <w:p>
      <w:pPr>
        <w:pStyle w:val="ListParagraph"/>
        <w:numPr>
          <w:ilvl w:val="0"/>
          <w:numId w:val="2"/>
        </w:numPr>
      </w:pPr>
      <w:r>
        <w:t xml:space="preserve">Former CDCR inmates can visit, but there may be extra scrutiny</w:t>
      </w:r>
    </w:p>
    <w:p>
      <w:pPr>
        <w:pStyle w:val="ListParagraph"/>
        <w:numPr>
          <w:ilvl w:val="0"/>
          <w:numId w:val="2"/>
        </w:numPr>
      </w:pPr>
      <w:r>
        <w:t xml:space="preserve">Certain restrictions if you were at the same facility</w:t>
      </w:r>
    </w:p>
    <w:p>
      <w:pPr>
        <w:pStyle w:val="ListParagraph"/>
        <w:numPr>
          <w:ilvl w:val="0"/>
          <w:numId w:val="2"/>
        </w:numPr>
        <w:spacing w:after="200"/>
      </w:pPr>
      <w:r>
        <w:t xml:space="preserve">Be upfront about it on the application</w:t>
      </w:r>
    </w:p>
    <w:p>
      <w:pPr>
        <w:pStyle w:val="Heading3"/>
      </w:pPr>
      <w:r>
        <w:t xml:space="preserve">EXPANDABLE: Adding Minor Children to Your Application</w:t>
      </w:r>
    </w:p>
    <w:p>
      <w:pPr>
        <w:pStyle w:val="ListParagraph"/>
        <w:numPr>
          <w:ilvl w:val="0"/>
          <w:numId w:val="2"/>
        </w:numPr>
      </w:pPr>
      <w:r>
        <w:t xml:space="preserve">Children must be listed on an approved adult's application</w:t>
      </w:r>
    </w:p>
    <w:p>
      <w:pPr>
        <w:pStyle w:val="ListParagraph"/>
        <w:numPr>
          <w:ilvl w:val="0"/>
          <w:numId w:val="2"/>
        </w:numPr>
      </w:pPr>
      <w:r>
        <w:t xml:space="preserve">You'll need to prove relationship (birth certificate)</w:t>
      </w:r>
    </w:p>
    <w:p>
      <w:pPr>
        <w:pStyle w:val="ListParagraph"/>
        <w:numPr>
          <w:ilvl w:val="0"/>
          <w:numId w:val="2"/>
        </w:numPr>
      </w:pPr>
      <w:r>
        <w:t xml:space="preserve">If you're not the parent, you need written permission from legal guardian</w:t>
      </w:r>
    </w:p>
    <w:p>
      <w:pPr>
        <w:pStyle w:val="ListParagraph"/>
        <w:numPr>
          <w:ilvl w:val="0"/>
          <w:numId w:val="2"/>
        </w:numPr>
        <w:spacing w:after="200"/>
      </w:pPr>
      <w:r>
        <w:t xml:space="preserve">Children don't go through the same background check</w:t>
      </w:r>
    </w:p>
    <w:p>
      <w:pPr>
        <w:pStyle w:val="Heading3"/>
      </w:pPr>
      <w:r>
        <w:t xml:space="preserve">EXPANDABLE: If Your Loved One Just Transferred to a New Facility</w:t>
      </w:r>
    </w:p>
    <w:p>
      <w:pPr>
        <w:pStyle w:val="ListParagraph"/>
        <w:numPr>
          <w:ilvl w:val="0"/>
          <w:numId w:val="2"/>
        </w:numPr>
      </w:pPr>
      <w:r>
        <w:t xml:space="preserve">Your approval usually transfers with them (but not always instantly)</w:t>
      </w:r>
    </w:p>
    <w:p>
      <w:pPr>
        <w:pStyle w:val="ListParagraph"/>
        <w:numPr>
          <w:ilvl w:val="0"/>
          <w:numId w:val="2"/>
        </w:numPr>
      </w:pPr>
      <w:r>
        <w:t xml:space="preserve">Call the new facility's visiting office to confirm you're in their system</w:t>
      </w:r>
    </w:p>
    <w:p>
      <w:pPr>
        <w:pStyle w:val="ListParagraph"/>
        <w:numPr>
          <w:ilvl w:val="0"/>
          <w:numId w:val="2"/>
        </w:numPr>
        <w:spacing w:after="400"/>
      </w:pPr>
      <w:r>
        <w:t xml:space="preserve">You may need to wait a few days/weeks while they process the transfer</w:t>
      </w:r>
    </w:p>
    <w:p>
      <w:pPr>
        <w:pStyle w:val="Heading1"/>
      </w:pPr>
      <w:r>
        <w:t xml:space="preserve">6. What's Next (After You're Approved)</w:t>
      </w:r>
    </w:p>
    <w:p>
      <w:pPr>
        <w:spacing w:after="200"/>
      </w:pPr>
      <w:r>
        <w:rPr>
          <w:b/>
          <w:bCs/>
        </w:rPr>
        <w:t xml:space="preserve">Content: </w:t>
      </w:r>
      <w:r>
        <w:t xml:space="preserve">Brief transition—don't repeat content from other pages, just point them forward</w:t>
      </w:r>
    </w:p>
    <w:p>
      <w:pPr>
        <w:spacing w:after="200"/>
      </w:pPr>
      <w:r>
        <w:t xml:space="preserve">Once you're approved, you're ready to schedule and prepare for your first visit. Here's what to do next:</w:t>
      </w:r>
    </w:p>
    <w:p>
      <w:pPr>
        <w:pStyle w:val="ListParagraph"/>
        <w:numPr>
          <w:ilvl w:val="0"/>
          <w:numId w:val="2"/>
        </w:numPr>
      </w:pPr>
      <w:r>
        <w:rPr>
          <w:b/>
          <w:bCs/>
        </w:rPr>
        <w:t xml:space="preserve">Schedule your visit </w:t>
      </w:r>
      <w:r>
        <w:t xml:space="preserve">→ Link to 'Planning Your Visit'</w:t>
      </w:r>
    </w:p>
    <w:p>
      <w:pPr>
        <w:pStyle w:val="ListParagraph"/>
        <w:numPr>
          <w:ilvl w:val="0"/>
          <w:numId w:val="2"/>
        </w:numPr>
      </w:pPr>
      <w:r>
        <w:rPr>
          <w:b/>
          <w:bCs/>
        </w:rPr>
        <w:t xml:space="preserve">Know what to wear </w:t>
      </w:r>
      <w:r>
        <w:t xml:space="preserve">→ Link to 'What to Wear'</w:t>
      </w:r>
    </w:p>
    <w:p>
      <w:pPr>
        <w:pStyle w:val="ListParagraph"/>
        <w:numPr>
          <w:ilvl w:val="0"/>
          <w:numId w:val="2"/>
        </w:numPr>
      </w:pPr>
      <w:r>
        <w:rPr>
          <w:b/>
          <w:bCs/>
        </w:rPr>
        <w:t xml:space="preserve">Know what to bring (and leave behind) </w:t>
      </w:r>
      <w:r>
        <w:t xml:space="preserve">→ Link to 'What to Bring'</w:t>
      </w:r>
    </w:p>
    <w:p>
      <w:pPr>
        <w:pStyle w:val="ListParagraph"/>
        <w:numPr>
          <w:ilvl w:val="0"/>
          <w:numId w:val="2"/>
        </w:numPr>
        <w:spacing w:after="200"/>
      </w:pPr>
      <w:r>
        <w:rPr>
          <w:b/>
          <w:bCs/>
        </w:rPr>
        <w:t xml:space="preserve">Get facility-specific details </w:t>
      </w:r>
      <w:r>
        <w:t xml:space="preserve">→ Link to facility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6749" w:sz="8"/>
              <w:left w:val="single" w:color="276749" w:sz="8"/>
              <w:bottom w:val="single" w:color="276749" w:sz="8"/>
              <w:right w:val="single" w:color="276749" w:sz="8"/>
            </w:tcBorders>
            <w:shd w:fill="F0FFF4" w:val="clear"/>
            <w:tcMar>
              <w:top w:type="dxa" w:w="120"/>
              <w:left w:type="dxa" w:w="200"/>
              <w:bottom w:type="dxa" w:w="120"/>
              <w:right w:type="dxa" w:w="200"/>
            </w:tcMar>
          </w:tcPr>
          <w:p>
            <w:pPr>
              <w:spacing w:after="80"/>
            </w:pPr>
            <w:r>
              <w:rPr>
                <w:b/>
                <w:bCs/>
                <w:color w:val="276749"/>
              </w:rPr>
              <w:t xml:space="preserve">💡 PRO TIP</w:t>
            </w:r>
          </w:p>
          <w:p>
            <w:r>
              <w:rPr>
                <w:sz w:val="20"/>
                <w:szCs w:val="20"/>
              </w:rPr>
              <w:t xml:space="preserve">Don't wait until you're approved to read up on what to wear and bring. The rules can be strict and surprising, and it's better to know before your first visit than to get turned away at the door.</w:t>
            </w:r>
          </w:p>
        </w:tc>
      </w:tr>
    </w:tbl>
    <w:p>
      <w:pPr>
        <w:spacing w:after="400"/>
      </w:pPr>
    </w:p>
    <w:p>
      <w:pPr>
        <w:pStyle w:val="Heading1"/>
      </w:pPr>
      <w:r>
        <w:t xml:space="preserve">Page Elements Summary</w:t>
      </w:r>
    </w:p>
    <w:p>
      <w:pPr>
        <w:pStyle w:val="Heading3"/>
      </w:pPr>
      <w:r>
        <w:t xml:space="preserve">Interactive Elements</w:t>
      </w:r>
    </w:p>
    <w:p>
      <w:pPr>
        <w:pStyle w:val="ListParagraph"/>
        <w:numPr>
          <w:ilvl w:val="0"/>
          <w:numId w:val="3"/>
        </w:numPr>
      </w:pPr>
      <w:r>
        <w:t xml:space="preserve">Download link: CDCR Form 106 (PDF)</w:t>
      </w:r>
    </w:p>
    <w:p>
      <w:pPr>
        <w:pStyle w:val="ListParagraph"/>
        <w:numPr>
          <w:ilvl w:val="0"/>
          <w:numId w:val="3"/>
        </w:numPr>
      </w:pPr>
      <w:r>
        <w:t xml:space="preserve">External link: CDCR Inmate Locator</w:t>
      </w:r>
    </w:p>
    <w:p>
      <w:pPr>
        <w:pStyle w:val="ListParagraph"/>
        <w:numPr>
          <w:ilvl w:val="0"/>
          <w:numId w:val="3"/>
        </w:numPr>
      </w:pPr>
      <w:r>
        <w:t xml:space="preserve">Download link: Appeal Letter Template</w:t>
      </w:r>
    </w:p>
    <w:p>
      <w:pPr>
        <w:pStyle w:val="ListParagraph"/>
        <w:numPr>
          <w:ilvl w:val="0"/>
          <w:numId w:val="3"/>
        </w:numPr>
        <w:spacing w:after="200"/>
      </w:pPr>
      <w:r>
        <w:t xml:space="preserve">Internal links: Planning Your Visit, What to Wear, What to Bring, Facility Pages</w:t>
      </w:r>
    </w:p>
    <w:p>
      <w:pPr>
        <w:pStyle w:val="Heading3"/>
      </w:pPr>
      <w:r>
        <w:t xml:space="preserve">Expandable Sections (5)</w:t>
      </w:r>
    </w:p>
    <w:p>
      <w:pPr>
        <w:pStyle w:val="ListParagraph"/>
        <w:numPr>
          <w:ilvl w:val="0"/>
          <w:numId w:val="3"/>
        </w:numPr>
      </w:pPr>
      <w:r>
        <w:t xml:space="preserve">What might disqualify you</w:t>
      </w:r>
    </w:p>
    <w:p>
      <w:pPr>
        <w:pStyle w:val="ListParagraph"/>
        <w:numPr>
          <w:ilvl w:val="0"/>
          <w:numId w:val="3"/>
        </w:numPr>
      </w:pPr>
      <w:r>
        <w:t xml:space="preserve">If you have a criminal record</w:t>
      </w:r>
    </w:p>
    <w:p>
      <w:pPr>
        <w:pStyle w:val="ListParagraph"/>
        <w:numPr>
          <w:ilvl w:val="0"/>
          <w:numId w:val="3"/>
        </w:numPr>
      </w:pPr>
      <w:r>
        <w:t xml:space="preserve">If you're on parole or probation</w:t>
      </w:r>
    </w:p>
    <w:p>
      <w:pPr>
        <w:pStyle w:val="ListParagraph"/>
        <w:numPr>
          <w:ilvl w:val="0"/>
          <w:numId w:val="3"/>
        </w:numPr>
      </w:pPr>
      <w:r>
        <w:t xml:space="preserve">If you were previously incarcerated at CDCR</w:t>
      </w:r>
    </w:p>
    <w:p>
      <w:pPr>
        <w:pStyle w:val="ListParagraph"/>
        <w:numPr>
          <w:ilvl w:val="0"/>
          <w:numId w:val="3"/>
        </w:numPr>
      </w:pPr>
      <w:r>
        <w:t xml:space="preserve">Adding minor children</w:t>
      </w:r>
    </w:p>
    <w:p>
      <w:pPr>
        <w:pStyle w:val="ListParagraph"/>
        <w:numPr>
          <w:ilvl w:val="0"/>
          <w:numId w:val="3"/>
        </w:numPr>
        <w:spacing w:after="200"/>
      </w:pPr>
      <w:r>
        <w:t xml:space="preserve">If your loved one just transferred</w:t>
      </w:r>
    </w:p>
    <w:p>
      <w:pPr>
        <w:pStyle w:val="Heading3"/>
      </w:pPr>
      <w:r>
        <w:t xml:space="preserve">Callout Boxes</w:t>
      </w:r>
    </w:p>
    <w:p>
      <w:pPr>
        <w:pStyle w:val="ListParagraph"/>
        <w:numPr>
          <w:ilvl w:val="0"/>
          <w:numId w:val="3"/>
        </w:numPr>
      </w:pPr>
      <w:r>
        <w:t xml:space="preserve">Time expectation (yellow): 2-6 weeks</w:t>
      </w:r>
    </w:p>
    <w:p>
      <w:pPr>
        <w:pStyle w:val="ListParagraph"/>
        <w:numPr>
          <w:ilvl w:val="0"/>
          <w:numId w:val="3"/>
        </w:numPr>
      </w:pPr>
      <w:r>
        <w:t xml:space="preserve">Check your facility page (red): For submission address</w:t>
      </w:r>
    </w:p>
    <w:p>
      <w:pPr>
        <w:pStyle w:val="ListParagraph"/>
        <w:numPr>
          <w:ilvl w:val="0"/>
          <w:numId w:val="3"/>
        </w:numPr>
      </w:pPr>
      <w:r>
        <w:t xml:space="preserve">Check your facility page (red): For follow-up phone number</w:t>
      </w:r>
    </w:p>
    <w:p>
      <w:pPr>
        <w:pStyle w:val="ListParagraph"/>
        <w:numPr>
          <w:ilvl w:val="0"/>
          <w:numId w:val="3"/>
        </w:numPr>
        <w:spacing w:after="200"/>
      </w:pPr>
      <w:r>
        <w:t xml:space="preserve">Pro tip (green): Read dress code before you're approved</w:t>
      </w:r>
    </w:p>
    <w:p>
      <w:pPr>
        <w:pStyle w:val="Heading3"/>
      </w:pPr>
      <w:r>
        <w:t xml:space="preserve">Downloadable Resources</w:t>
      </w:r>
    </w:p>
    <w:p>
      <w:pPr>
        <w:pStyle w:val="ListParagraph"/>
        <w:numPr>
          <w:ilvl w:val="0"/>
          <w:numId w:val="3"/>
        </w:numPr>
      </w:pPr>
      <w:r>
        <w:t xml:space="preserve">CDCR Form 106</w:t>
      </w:r>
    </w:p>
    <w:p>
      <w:pPr>
        <w:pStyle w:val="ListParagraph"/>
        <w:numPr>
          <w:ilvl w:val="0"/>
          <w:numId w:val="3"/>
        </w:numPr>
      </w:pPr>
      <w:r>
        <w:t xml:space="preserve">Appeal Letter Template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2026-01-27T06:39:11.584Z</dcterms:created>
  <dcterms:modified xsi:type="dcterms:W3CDTF">2026-01-27T06:39:11.593Z</dcterms:modified>
</cp:coreProperties>
</file>

<file path=docProps/custom.xml><?xml version="1.0" encoding="utf-8"?>
<Properties xmlns="http://schemas.openxmlformats.org/officeDocument/2006/custom-properties" xmlns:vt="http://schemas.openxmlformats.org/officeDocument/2006/docPropsVTypes"/>
</file>