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200"/>
              <w:bottom w:type="dxa" w:w="300"/>
              <w:right w:type="dxa" w:w="200"/>
            </w:tcMar>
          </w:tcPr>
          <w:p>
            <w:pPr>
              <w:jc w:val="center"/>
            </w:pPr>
            <w:r>
              <w:rPr>
                <w:b/>
                <w:bCs/>
                <w:color w:val="FFFFFF"/>
                <w:sz w:val="44"/>
                <w:szCs w:val="44"/>
              </w:rPr>
              <w:t xml:space="preserve">About This Site</w:t>
            </w:r>
          </w:p>
        </w:tc>
      </w:tr>
    </w:tbl>
    <w:p/>
    <w:p>
      <w:pPr>
        <w:pStyle w:val="Heading2"/>
      </w:pPr>
      <w:r>
        <w:t xml:space="preserve">About This Site</w:t>
      </w:r>
    </w:p>
    <w:p/>
    <w:p>
      <w:r>
        <w:t xml:space="preserve">This site gathers information that families of incarcerated people need and presents it in one place, in plain language. It is not affiliated with, endorsed by, or connected to the California Department of Corrections and Rehabilitation (CDCR) or any government agency.</w:t>
      </w:r>
    </w:p>
    <w:p/>
    <w:p>
      <w:r>
        <w:t xml:space="preserve">The goal is simple: to gather the information that families actually need and present it clearly, in one place, in plain language.</w:t>
      </w:r>
    </w:p>
    <w:p/>
    <w:p>
      <w:r>
        <w:t xml:space="preserve">When you're trying to support someone in prison, you quickly learn that the information is scattered across multiple websites, buried in dense PDFs, or simply hard to find. Visiting rules are on one page, mail guidelines on another, and phone setup instructions somewhere else entirely. And much of it is written in bureaucratic language that assumes you already know how everything works.</w:t>
      </w:r>
    </w:p>
    <w:p/>
    <w:p>
      <w:r>
        <w:t xml:space="preserve">This site tries to fix that. Every guide here was written based on official CDCR policies, verified sources, and the real experiences of families navigating the system.</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50"/>
              <w:left w:type="dxa" w:w="200"/>
              <w:bottom w:type="dxa" w:w="150"/>
              <w:right w:type="dxa" w:w="200"/>
            </w:tcMar>
          </w:tcPr>
          <w:p>
            <w:r>
              <w:rPr>
                <w:b/>
                <w:bCs/>
                <w:sz w:val="26"/>
                <w:szCs w:val="26"/>
              </w:rPr>
              <w:t xml:space="preserve">⚠️ Important Disclaimer</w:t>
            </w:r>
          </w:p>
          <w:p/>
          <w:p>
            <w:r>
              <w:t xml:space="preserve">This site provides general information only. It is not legal advice and should not be relied upon as such.</w:t>
            </w:r>
          </w:p>
          <w:p/>
          <w:p>
            <w:r>
              <w:t xml:space="preserve">CDCR policies can change at any time, and individual facilities may have additional rules. We do our best to keep information current, but we cannot guarantee accuracy. When in doubt, call the facility directly or check CDCR's official website.</w:t>
            </w:r>
          </w:p>
          <w:p/>
          <w:p>
            <w:r>
              <w:t xml:space="preserve">If you are facing a legal issue, please consult with a qualified attorney.</w:t>
            </w:r>
          </w:p>
        </w:tc>
      </w:tr>
    </w:tbl>
    <w:p/>
    <w:p>
      <w:pPr>
        <w:pStyle w:val="Heading2"/>
      </w:pPr>
      <w:r>
        <w:t xml:space="preserve">How We Try to Stay Accurate</w:t>
      </w:r>
    </w:p>
    <w:p/>
    <w:p>
      <w:r>
        <w:t xml:space="preserve">Keeping prison information accurate is challenging. Policies change, vendors switch, and what's true at one facility may not be true at another.</w:t>
      </w:r>
    </w:p>
    <w:p/>
    <w:p>
      <w:r>
        <w:t xml:space="preserve">Here's how we try to keep things current:</w:t>
      </w:r>
    </w:p>
    <w:p/>
    <w:p>
      <w:pPr>
        <w:pStyle w:val="ListParagraph"/>
        <w:numPr>
          <w:ilvl w:val="0"/>
          <w:numId w:val="2"/>
        </w:numPr>
      </w:pPr>
      <w:r>
        <w:rPr>
          <w:b/>
          <w:bCs/>
        </w:rPr>
        <w:t xml:space="preserve">Official sources first: </w:t>
      </w:r>
      <w:r>
        <w:t xml:space="preserve">We rely primarily on CDCR's official website, Title 15 regulations, and published operations manuals.</w:t>
      </w:r>
    </w:p>
    <w:p>
      <w:pPr>
        <w:pStyle w:val="ListParagraph"/>
        <w:numPr>
          <w:ilvl w:val="0"/>
          <w:numId w:val="2"/>
        </w:numPr>
      </w:pPr>
      <w:r>
        <w:rPr>
          <w:b/>
          <w:bCs/>
        </w:rPr>
        <w:t xml:space="preserve">Cross-referencing: </w:t>
      </w:r>
      <w:r>
        <w:t xml:space="preserve">We check information against multiple sources when possible — CDCR, vendor websites, advocacy organizations, and news reports.</w:t>
      </w:r>
    </w:p>
    <w:p>
      <w:pPr>
        <w:pStyle w:val="ListParagraph"/>
        <w:numPr>
          <w:ilvl w:val="0"/>
          <w:numId w:val="2"/>
        </w:numPr>
      </w:pPr>
      <w:r>
        <w:rPr>
          <w:b/>
          <w:bCs/>
        </w:rPr>
        <w:t xml:space="preserve">Community feedback: </w:t>
      </w:r>
      <w:r>
        <w:t xml:space="preserve">We learn from families who use these guides and discover that something has changed or isn't quite right.</w:t>
      </w:r>
    </w:p>
    <w:p>
      <w:pPr>
        <w:pStyle w:val="ListParagraph"/>
        <w:numPr>
          <w:ilvl w:val="0"/>
          <w:numId w:val="2"/>
        </w:numPr>
      </w:pPr>
      <w:r>
        <w:rPr>
          <w:b/>
          <w:bCs/>
        </w:rPr>
        <w:t xml:space="preserve">Regular reviews: </w:t>
      </w:r>
      <w:r>
        <w:t xml:space="preserve">We periodically review each guide to check for outdated information.</w:t>
      </w:r>
    </w:p>
    <w:p/>
    <w:p>
      <w:r>
        <w:t xml:space="preserve">Despite these efforts, errors and outdated information can slip through. If you spot something wrong, please let us know.</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50"/>
              <w:left w:type="dxa" w:w="200"/>
              <w:bottom w:type="dxa" w:w="150"/>
              <w:right w:type="dxa" w:w="200"/>
            </w:tcMar>
          </w:tcPr>
          <w:p>
            <w:r>
              <w:rPr>
                <w:b/>
                <w:bCs/>
                <w:sz w:val="26"/>
                <w:szCs w:val="26"/>
              </w:rPr>
              <w:t xml:space="preserve">📝 Report an Error or Suggestion</w:t>
            </w:r>
          </w:p>
          <w:p/>
          <w:p>
            <w:r>
              <w:t xml:space="preserve">Found something that's wrong, outdated, or confusing? We want to know.</w:t>
            </w:r>
          </w:p>
          <w:p/>
          <w:p>
            <w:r>
              <w:rPr>
                <w:b/>
                <w:bCs/>
              </w:rPr>
              <w:t xml:space="preserve">Email: </w:t>
            </w:r>
            <w:r>
              <w:t xml:space="preserve">[contact email — placeholder]</w:t>
            </w:r>
          </w:p>
          <w:p/>
          <w:p>
            <w:r>
              <w:t xml:space="preserve">Please include:</w:t>
            </w:r>
          </w:p>
          <w:p>
            <w:pPr>
              <w:pStyle w:val="ListParagraph"/>
              <w:numPr>
                <w:ilvl w:val="0"/>
                <w:numId w:val="2"/>
              </w:numPr>
            </w:pPr>
            <w:r>
              <w:t xml:space="preserve">Which page or section has the issue</w:t>
            </w:r>
          </w:p>
          <w:p>
            <w:pPr>
              <w:pStyle w:val="ListParagraph"/>
              <w:numPr>
                <w:ilvl w:val="0"/>
                <w:numId w:val="2"/>
              </w:numPr>
            </w:pPr>
            <w:r>
              <w:t xml:space="preserve">What the error is (or what's confusing)</w:t>
            </w:r>
          </w:p>
          <w:p>
            <w:pPr>
              <w:pStyle w:val="ListParagraph"/>
              <w:numPr>
                <w:ilvl w:val="0"/>
                <w:numId w:val="2"/>
              </w:numPr>
            </w:pPr>
            <w:r>
              <w:t xml:space="preserve">If you know the correct information, please share it along with your source</w:t>
            </w:r>
          </w:p>
          <w:p/>
          <w:p>
            <w:r>
              <w:t xml:space="preserve">We can't respond to every email, but we read them all and make corrections as quickly as possible.</w:t>
            </w:r>
          </w:p>
        </w:tc>
      </w:tr>
    </w:tbl>
    <w:p/>
    <w:p>
      <w:pPr>
        <w:pStyle w:val="Heading2"/>
      </w:pPr>
      <w:r>
        <w:t xml:space="preserve">Additional Resources</w:t>
      </w:r>
    </w:p>
    <w:p/>
    <w:p>
      <w:r>
        <w:t xml:space="preserve">This site focuses on practical information for families. If you need help beyond what we cover here, these organizations may be able to assist:</w:t>
      </w:r>
    </w:p>
    <w:p/>
    <w:p>
      <w:r>
        <w:rPr>
          <w:b/>
          <w:bCs/>
          <w:sz w:val="26"/>
          <w:szCs w:val="26"/>
        </w:rPr>
        <w:t xml:space="preserve">Official CDCR Resources</w:t>
      </w:r>
    </w:p>
    <w:p/>
    <w:p>
      <w:pPr>
        <w:pStyle w:val="ListParagraph"/>
        <w:numPr>
          <w:ilvl w:val="0"/>
          <w:numId w:val="2"/>
        </w:numPr>
      </w:pPr>
      <w:r>
        <w:rPr>
          <w:b/>
          <w:bCs/>
        </w:rPr>
        <w:t xml:space="preserve">CDCR Website: </w:t>
      </w:r>
      <w:r>
        <w:t xml:space="preserve">cdcr.ca.gov — Official source for policies, forms, and facility information</w:t>
      </w:r>
    </w:p>
    <w:p>
      <w:pPr>
        <w:pStyle w:val="ListParagraph"/>
        <w:numPr>
          <w:ilvl w:val="0"/>
          <w:numId w:val="2"/>
        </w:numPr>
      </w:pPr>
      <w:r>
        <w:rPr>
          <w:b/>
          <w:bCs/>
        </w:rPr>
        <w:t xml:space="preserve">Visiting Status Hotline: </w:t>
      </w:r>
      <w:r>
        <w:t xml:space="preserve">1-800-374-8474 — Call before every visit to confirm the facility is open</w:t>
      </w:r>
    </w:p>
    <w:p>
      <w:pPr>
        <w:pStyle w:val="ListParagraph"/>
        <w:numPr>
          <w:ilvl w:val="0"/>
          <w:numId w:val="2"/>
        </w:numPr>
      </w:pPr>
      <w:r>
        <w:rPr>
          <w:b/>
          <w:bCs/>
        </w:rPr>
        <w:t xml:space="preserve">Office of the Ombudsman: </w:t>
      </w:r>
      <w:r>
        <w:t xml:space="preserve">1-877-317-0055 — For complaints and concerns about CDCR facilities</w:t>
      </w:r>
    </w:p>
    <w:p>
      <w:pPr>
        <w:pStyle w:val="ListParagraph"/>
        <w:numPr>
          <w:ilvl w:val="0"/>
          <w:numId w:val="2"/>
        </w:numPr>
      </w:pPr>
      <w:r>
        <w:rPr>
          <w:b/>
          <w:bCs/>
        </w:rPr>
        <w:t xml:space="preserve">Victim Services: </w:t>
      </w:r>
      <w:r>
        <w:t xml:space="preserve">1-877-256-6877 — Notification and information for victims</w:t>
      </w:r>
    </w:p>
    <w:p/>
    <w:p>
      <w:r>
        <w:rPr>
          <w:b/>
          <w:bCs/>
          <w:sz w:val="26"/>
          <w:szCs w:val="26"/>
        </w:rPr>
        <w:t xml:space="preserve">Communication &amp; Money Services</w:t>
      </w:r>
    </w:p>
    <w:p/>
    <w:p>
      <w:pPr>
        <w:pStyle w:val="ListParagraph"/>
        <w:numPr>
          <w:ilvl w:val="0"/>
          <w:numId w:val="2"/>
        </w:numPr>
      </w:pPr>
      <w:r>
        <w:rPr>
          <w:b/>
          <w:bCs/>
        </w:rPr>
        <w:t xml:space="preserve">ViaPath (formerly GTL): </w:t>
      </w:r>
      <w:r>
        <w:t xml:space="preserve">web.connectnetwork.com — Phone, video visits, messaging (most facilities)</w:t>
      </w:r>
    </w:p>
    <w:p>
      <w:pPr>
        <w:pStyle w:val="ListParagraph"/>
        <w:numPr>
          <w:ilvl w:val="0"/>
          <w:numId w:val="2"/>
        </w:numPr>
      </w:pPr>
      <w:r>
        <w:rPr>
          <w:b/>
          <w:bCs/>
        </w:rPr>
        <w:t xml:space="preserve">Securus: </w:t>
      </w:r>
      <w:r>
        <w:t xml:space="preserve">securustech.net — Phone and video (some facilities transitioning)</w:t>
      </w:r>
    </w:p>
    <w:p>
      <w:pPr>
        <w:pStyle w:val="ListParagraph"/>
        <w:numPr>
          <w:ilvl w:val="0"/>
          <w:numId w:val="2"/>
        </w:numPr>
      </w:pPr>
      <w:r>
        <w:rPr>
          <w:b/>
          <w:bCs/>
        </w:rPr>
        <w:t xml:space="preserve">JPay: </w:t>
      </w:r>
      <w:r>
        <w:t xml:space="preserve">jpay.com — Tablets, email, money transfers</w:t>
      </w:r>
    </w:p>
    <w:p>
      <w:pPr>
        <w:pStyle w:val="ListParagraph"/>
        <w:numPr>
          <w:ilvl w:val="0"/>
          <w:numId w:val="2"/>
        </w:numPr>
      </w:pPr>
      <w:r>
        <w:rPr>
          <w:b/>
          <w:bCs/>
        </w:rPr>
        <w:t xml:space="preserve">Access Corrections: </w:t>
      </w:r>
      <w:r>
        <w:t xml:space="preserve">accesscorrections.com — Money deposits</w:t>
      </w:r>
    </w:p>
    <w:p/>
    <w:p>
      <w:r>
        <w:rPr>
          <w:b/>
          <w:bCs/>
          <w:sz w:val="26"/>
          <w:szCs w:val="26"/>
        </w:rPr>
        <w:t xml:space="preserve">Advocacy &amp; Support Organizations</w:t>
      </w:r>
    </w:p>
    <w:p/>
    <w:p>
      <w:pPr>
        <w:pStyle w:val="ListParagraph"/>
        <w:numPr>
          <w:ilvl w:val="0"/>
          <w:numId w:val="2"/>
        </w:numPr>
      </w:pPr>
      <w:r>
        <w:rPr>
          <w:b/>
          <w:bCs/>
        </w:rPr>
        <w:t xml:space="preserve">Prison Policy Initiative: </w:t>
      </w:r>
      <w:r>
        <w:t xml:space="preserve">prisonpolicy.org — Research and advocacy on criminal justice issues</w:t>
      </w:r>
    </w:p>
    <w:p>
      <w:pPr>
        <w:pStyle w:val="ListParagraph"/>
        <w:numPr>
          <w:ilvl w:val="0"/>
          <w:numId w:val="2"/>
        </w:numPr>
      </w:pPr>
      <w:r>
        <w:rPr>
          <w:b/>
          <w:bCs/>
        </w:rPr>
        <w:t xml:space="preserve">Ella Baker Center: </w:t>
      </w:r>
      <w:r>
        <w:t xml:space="preserve">ellabakercenter.org — California-based justice reform organization</w:t>
      </w:r>
    </w:p>
    <w:p>
      <w:pPr>
        <w:pStyle w:val="ListParagraph"/>
        <w:numPr>
          <w:ilvl w:val="0"/>
          <w:numId w:val="2"/>
        </w:numPr>
      </w:pPr>
      <w:r>
        <w:rPr>
          <w:b/>
          <w:bCs/>
        </w:rPr>
        <w:t xml:space="preserve">Californians United for a Responsible Budget (CURB): </w:t>
      </w:r>
      <w:r>
        <w:t xml:space="preserve">curbprisonspending.org — Coalition working to reduce incarceration</w:t>
      </w:r>
    </w:p>
    <w:p>
      <w:pPr>
        <w:pStyle w:val="ListParagraph"/>
        <w:numPr>
          <w:ilvl w:val="0"/>
          <w:numId w:val="2"/>
        </w:numPr>
      </w:pPr>
      <w:r>
        <w:rPr>
          <w:b/>
          <w:bCs/>
        </w:rPr>
        <w:t xml:space="preserve">Root &amp; Rebound: </w:t>
      </w:r>
      <w:r>
        <w:t xml:space="preserve">rootandrebound.org — Reentry legal services and resources</w:t>
      </w:r>
    </w:p>
    <w:p>
      <w:pPr>
        <w:pStyle w:val="ListParagraph"/>
        <w:numPr>
          <w:ilvl w:val="0"/>
          <w:numId w:val="2"/>
        </w:numPr>
      </w:pPr>
      <w:r>
        <w:rPr>
          <w:b/>
          <w:bCs/>
        </w:rPr>
        <w:t xml:space="preserve">Essie Justice Group: </w:t>
      </w:r>
      <w:r>
        <w:t xml:space="preserve">essiejusticegroup.org — Support for women with incarcerated family members</w:t>
      </w:r>
    </w:p>
    <w:p/>
    <w:p>
      <w:r>
        <w:rPr>
          <w:b/>
          <w:bCs/>
          <w:sz w:val="26"/>
          <w:szCs w:val="26"/>
        </w:rPr>
        <w:t xml:space="preserve">Legal Assistance</w:t>
      </w:r>
    </w:p>
    <w:p/>
    <w:p>
      <w:pPr>
        <w:pStyle w:val="ListParagraph"/>
        <w:numPr>
          <w:ilvl w:val="0"/>
          <w:numId w:val="2"/>
        </w:numPr>
      </w:pPr>
      <w:r>
        <w:rPr>
          <w:b/>
          <w:bCs/>
        </w:rPr>
        <w:t xml:space="preserve">Prison Law Office: </w:t>
      </w:r>
      <w:r>
        <w:t xml:space="preserve">prisonlaw.com — Free legal services for California prisoners on conditions of confinement</w:t>
      </w:r>
    </w:p>
    <w:p>
      <w:pPr>
        <w:pStyle w:val="ListParagraph"/>
        <w:numPr>
          <w:ilvl w:val="0"/>
          <w:numId w:val="2"/>
        </w:numPr>
      </w:pPr>
      <w:r>
        <w:rPr>
          <w:b/>
          <w:bCs/>
        </w:rPr>
        <w:t xml:space="preserve">California Appellate Project: </w:t>
      </w:r>
      <w:r>
        <w:t xml:space="preserve">capsf.org — Appellate representation for death penalty cases</w:t>
      </w:r>
    </w:p>
    <w:p>
      <w:pPr>
        <w:pStyle w:val="ListParagraph"/>
        <w:numPr>
          <w:ilvl w:val="0"/>
          <w:numId w:val="2"/>
        </w:numPr>
      </w:pPr>
      <w:r>
        <w:rPr>
          <w:b/>
          <w:bCs/>
        </w:rPr>
        <w:t xml:space="preserve">State Bar Lawyer Referral Service: </w:t>
      </w:r>
      <w:r>
        <w:t xml:space="preserve">calbar.ca.gov — Find an attorney in California</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50"/>
              <w:left w:type="dxa" w:w="200"/>
              <w:bottom w:type="dxa" w:w="150"/>
              <w:right w:type="dxa" w:w="200"/>
            </w:tcMar>
          </w:tcPr>
          <w:p>
            <w:r>
              <w:rPr>
                <w:b/>
                <w:bCs/>
                <w:sz w:val="26"/>
                <w:szCs w:val="26"/>
              </w:rPr>
              <w:t xml:space="preserve">💚 Want to Help?</w:t>
            </w:r>
          </w:p>
          <w:p/>
          <w:p>
            <w:r>
              <w:t xml:space="preserve">This site is a volunteer project. If you'd like to help, here are some ways:</w:t>
            </w:r>
          </w:p>
          <w:p/>
          <w:p>
            <w:pPr>
              <w:pStyle w:val="ListParagraph"/>
              <w:numPr>
                <w:ilvl w:val="0"/>
                <w:numId w:val="2"/>
              </w:numPr>
            </w:pPr>
            <w:r>
              <w:rPr>
                <w:b/>
                <w:bCs/>
              </w:rPr>
              <w:t xml:space="preserve">Share corrections: </w:t>
            </w:r>
            <w:r>
              <w:t xml:space="preserve">If something is wrong or outdated, tell us</w:t>
            </w:r>
          </w:p>
          <w:p>
            <w:pPr>
              <w:pStyle w:val="ListParagraph"/>
              <w:numPr>
                <w:ilvl w:val="0"/>
                <w:numId w:val="2"/>
              </w:numPr>
            </w:pPr>
            <w:r>
              <w:rPr>
                <w:b/>
                <w:bCs/>
              </w:rPr>
              <w:t xml:space="preserve">Add facility tips: </w:t>
            </w:r>
            <w:r>
              <w:t xml:space="preserve">Have specific knowledge about a facility? We'd love to include it</w:t>
            </w:r>
          </w:p>
          <w:p>
            <w:pPr>
              <w:pStyle w:val="ListParagraph"/>
              <w:numPr>
                <w:ilvl w:val="0"/>
                <w:numId w:val="2"/>
              </w:numPr>
            </w:pPr>
            <w:r>
              <w:rPr>
                <w:b/>
                <w:bCs/>
              </w:rPr>
              <w:t xml:space="preserve">Spread the word: </w:t>
            </w:r>
            <w:r>
              <w:t xml:space="preserve">Share this site with other families who might find it useful</w:t>
            </w:r>
          </w:p>
          <w:p>
            <w:pPr>
              <w:pStyle w:val="ListParagraph"/>
              <w:numPr>
                <w:ilvl w:val="0"/>
                <w:numId w:val="2"/>
              </w:numPr>
            </w:pPr>
            <w:r>
              <w:rPr>
                <w:b/>
                <w:bCs/>
              </w:rPr>
              <w:t xml:space="preserve">Translate: </w:t>
            </w:r>
            <w:r>
              <w:t xml:space="preserve">Help us make these resources available in Spanish and other languages</w:t>
            </w:r>
          </w:p>
        </w:tc>
      </w:tr>
    </w:tbl>
    <w:p/>
    <w:p>
      <w:pPr>
        <w:pStyle w:val="Heading2"/>
      </w:pPr>
      <w:r>
        <w:t xml:space="preserve">A Final Note</w:t>
      </w:r>
    </w:p>
    <w:p/>
    <w:p>
      <w:r>
        <w:t xml:space="preserve">Supporting someone in prison means navigating a complex system. Information is often scattered, and the rules aren't always clear.</w:t>
      </w:r>
    </w:p>
    <w:p/>
    <w:p>
      <w:r>
        <w:t xml:space="preserve">Thousands of families across California go through this process every day. And while this site can't fix the system, we hope it can make the path a little clearer.</w:t>
      </w:r>
    </w:p>
    <w:p/>
    <w:p>
      <w:r>
        <w:t xml:space="preserve">Thank you for being here. Thank you for showing up for someone who needs your support. It matters more than you know.</w:t>
      </w:r>
    </w:p>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50"/>
              <w:left w:type="dxa" w:w="200"/>
              <w:bottom w:type="dxa" w:w="150"/>
              <w:right w:type="dxa" w:w="200"/>
            </w:tcMar>
          </w:tcPr>
          <w:p>
            <w:pPr>
              <w:jc w:val="center"/>
            </w:pPr>
            <w:r>
              <w:rPr>
                <w:i/>
                <w:iCs/>
                <w:sz w:val="20"/>
                <w:szCs w:val="20"/>
              </w:rPr>
              <w:t xml:space="preserve">Last updated: [Month Year]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E3A5F"/>
      <w:sz w:val="36"/>
      <w:szCs w:val="36"/>
    </w:rPr>
  </w:style>
  <w:style w:type="paragraph" w:styleId="Heading2">
    <w:name w:val="Heading 2"/>
    <w:basedOn w:val="Normal"/>
    <w:next w:val="Normal"/>
    <w:qFormat/>
    <w:pPr>
      <w:spacing w:before="200" w:after="100"/>
    </w:pPr>
    <w:rPr>
      <w:rFonts w:ascii="Arial" w:cs="Arial" w:eastAsia="Arial" w:hAnsi="Arial"/>
      <w:b/>
      <w:bCs/>
      <w:color w:val="2E7D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2026-01-30T21:37:08.037Z</dcterms:created>
  <dcterms:modified xsi:type="dcterms:W3CDTF">2026-01-30T21:37:08.037Z</dcterms:modified>
</cp:coreProperties>
</file>

<file path=docProps/custom.xml><?xml version="1.0" encoding="utf-8"?>
<Properties xmlns="http://schemas.openxmlformats.org/officeDocument/2006/custom-properties" xmlns:vt="http://schemas.openxmlformats.org/officeDocument/2006/docPropsVTypes"/>
</file>