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D932" w14:textId="77777777" w:rsidR="00845570" w:rsidRDefault="00845570" w:rsidP="00845570">
      <w:pPr>
        <w:spacing w:after="0" w:line="240" w:lineRule="auto"/>
      </w:pPr>
    </w:p>
    <w:p w14:paraId="71F59FA3" w14:textId="77777777" w:rsidR="00845570" w:rsidRPr="00845570" w:rsidRDefault="00845570" w:rsidP="00845570">
      <w:pPr>
        <w:spacing w:after="0" w:line="240" w:lineRule="auto"/>
        <w:rPr>
          <w:rFonts w:ascii="Andalus" w:hAnsi="Andalus" w:cs="Andalus"/>
          <w:b/>
          <w:bCs/>
          <w:u w:val="thick"/>
        </w:rPr>
      </w:pPr>
      <w:proofErr w:type="spellStart"/>
      <w:r w:rsidRPr="00845570">
        <w:rPr>
          <w:rFonts w:ascii="Andalus" w:hAnsi="Andalus" w:cs="Andalus"/>
          <w:b/>
          <w:bCs/>
          <w:u w:val="thick"/>
        </w:rPr>
        <w:t>AnalystLab</w:t>
      </w:r>
      <w:proofErr w:type="spellEnd"/>
      <w:r w:rsidRPr="00845570">
        <w:rPr>
          <w:rFonts w:ascii="Andalus" w:hAnsi="Andalus" w:cs="Andalus"/>
          <w:b/>
          <w:bCs/>
          <w:u w:val="thick"/>
        </w:rPr>
        <w:t xml:space="preserve"> Africa Data Analytics Internship </w:t>
      </w:r>
    </w:p>
    <w:p w14:paraId="41BC2210" w14:textId="64502704" w:rsidR="00845570" w:rsidRPr="00845570" w:rsidRDefault="00845570" w:rsidP="00845570">
      <w:pPr>
        <w:spacing w:after="0" w:line="240" w:lineRule="auto"/>
        <w:rPr>
          <w:rFonts w:ascii="Andalus" w:hAnsi="Andalus" w:cs="Andalus"/>
          <w:b/>
          <w:bCs/>
          <w:u w:val="thick"/>
        </w:rPr>
      </w:pPr>
      <w:r w:rsidRPr="00845570">
        <w:rPr>
          <w:rFonts w:ascii="Andalus" w:hAnsi="Andalus" w:cs="Andalus"/>
          <w:b/>
          <w:bCs/>
          <w:u w:val="thick"/>
        </w:rPr>
        <w:t>Week 6: Advanced Python Analysis</w:t>
      </w:r>
    </w:p>
    <w:p w14:paraId="65DA7EB1" w14:textId="23226930" w:rsidR="00845570" w:rsidRDefault="00845570" w:rsidP="00845570">
      <w:pPr>
        <w:spacing w:after="0" w:line="240" w:lineRule="auto"/>
        <w:rPr>
          <w:rFonts w:ascii="Andalus" w:hAnsi="Andalus" w:cs="Andalus"/>
          <w:b/>
          <w:bCs/>
        </w:rPr>
      </w:pPr>
      <w:r w:rsidRPr="00845570">
        <w:rPr>
          <w:rFonts w:ascii="Andalus" w:hAnsi="Andalus" w:cs="Andalus"/>
          <w:b/>
          <w:bCs/>
          <w:u w:val="thick"/>
        </w:rPr>
        <w:t>LINDSLY MUYONDA</w:t>
      </w:r>
    </w:p>
    <w:p w14:paraId="466B1E8D" w14:textId="77777777" w:rsidR="00845570" w:rsidRDefault="00845570" w:rsidP="00653CB1">
      <w:pPr>
        <w:spacing w:after="0" w:line="240" w:lineRule="auto"/>
        <w:rPr>
          <w:b/>
          <w:bCs/>
        </w:rPr>
      </w:pPr>
    </w:p>
    <w:p w14:paraId="2E323908" w14:textId="7872FAA9" w:rsidR="00653CB1" w:rsidRPr="00845570" w:rsidRDefault="00845570" w:rsidP="00845570">
      <w:pPr>
        <w:pStyle w:val="Heading2"/>
        <w:rPr>
          <w:rStyle w:val="SubtleReference"/>
          <w:u w:val="thick"/>
        </w:rPr>
      </w:pPr>
      <w:r>
        <w:t xml:space="preserve">                               </w:t>
      </w:r>
      <w:r w:rsidR="00653CB1" w:rsidRPr="00845570">
        <w:rPr>
          <w:rStyle w:val="SubtleReference"/>
          <w:u w:val="thick"/>
        </w:rPr>
        <w:t>Insight Summary — AAPL Stock Analysis</w:t>
      </w:r>
    </w:p>
    <w:p w14:paraId="1FEECBA3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</w:p>
    <w:p w14:paraId="62EC0C73" w14:textId="6720BC96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  <w:b/>
          <w:bCs/>
          <w:u w:val="dash"/>
        </w:rPr>
      </w:pPr>
      <w:r w:rsidRPr="00845570">
        <w:rPr>
          <w:rFonts w:ascii="Times New Roman" w:hAnsi="Times New Roman" w:cs="Times New Roman"/>
          <w:b/>
          <w:bCs/>
          <w:u w:val="dash"/>
        </w:rPr>
        <w:t>Dataset Overview</w:t>
      </w:r>
    </w:p>
    <w:p w14:paraId="14A67A89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This analysis covers 5 years of Apple Inc. (AAPL) historical stock data sourced from Yahoo Finance, including daily Open, High, Low, Close, Adjusted Close, and Trading Volume figures.</w:t>
      </w:r>
    </w:p>
    <w:p w14:paraId="51B79CAE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</w:p>
    <w:p w14:paraId="69523AB7" w14:textId="36E83CDB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  <w:b/>
          <w:bCs/>
          <w:u w:val="dash"/>
        </w:rPr>
      </w:pPr>
      <w:r w:rsidRPr="00845570">
        <w:rPr>
          <w:rFonts w:ascii="Times New Roman" w:hAnsi="Times New Roman" w:cs="Times New Roman"/>
          <w:b/>
          <w:bCs/>
          <w:u w:val="dash"/>
        </w:rPr>
        <w:t xml:space="preserve"> Data Transformation Techniques Applied</w:t>
      </w:r>
    </w:p>
    <w:p w14:paraId="5BE42BD0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Cleaned and validated data types, handled missing values via forward-fill</w:t>
      </w:r>
    </w:p>
    <w:p w14:paraId="5B71BF99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Removed duplicate records and sorted data chronologically by date</w:t>
      </w:r>
    </w:p>
    <w:p w14:paraId="35D04625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Created calculated columns (daily range, year, month, weekday)</w:t>
      </w:r>
    </w:p>
    <w:p w14:paraId="121FD30F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Applied grouping and aggregation to compute yearly and monthly performance summaries</w:t>
      </w:r>
    </w:p>
    <w:p w14:paraId="69F0A337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Filtered high-volume trading days (top 5th percentile)</w:t>
      </w:r>
    </w:p>
    <w:p w14:paraId="4FB25ABC" w14:textId="77777777" w:rsidR="00653CB1" w:rsidRPr="00845570" w:rsidRDefault="00653CB1" w:rsidP="00653CB1">
      <w:pPr>
        <w:spacing w:after="0" w:line="240" w:lineRule="auto"/>
        <w:rPr>
          <w:rFonts w:ascii="Times New Roman" w:hAnsi="Times New Roman" w:cs="Times New Roman"/>
        </w:rPr>
      </w:pPr>
    </w:p>
    <w:p w14:paraId="084FAB67" w14:textId="431AF09E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  <w:b/>
          <w:bCs/>
          <w:u w:val="dash"/>
        </w:rPr>
      </w:pPr>
      <w:r w:rsidRPr="00845570">
        <w:rPr>
          <w:rFonts w:ascii="Times New Roman" w:hAnsi="Times New Roman" w:cs="Times New Roman"/>
          <w:b/>
          <w:bCs/>
        </w:rPr>
        <w:t xml:space="preserve"> </w:t>
      </w:r>
      <w:r w:rsidRPr="00845570">
        <w:rPr>
          <w:rFonts w:ascii="Times New Roman" w:hAnsi="Times New Roman" w:cs="Times New Roman"/>
          <w:b/>
          <w:bCs/>
          <w:u w:val="dash"/>
        </w:rPr>
        <w:t>Trends Identified</w:t>
      </w:r>
    </w:p>
    <w:p w14:paraId="184C59C9" w14:textId="77777777" w:rsidR="00845570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 xml:space="preserve">- AAPL's closing price showed an overall </w:t>
      </w:r>
      <w:proofErr w:type="spellStart"/>
      <w:r w:rsidRPr="00845570">
        <w:rPr>
          <w:rFonts w:ascii="Times New Roman" w:hAnsi="Times New Roman" w:cs="Times New Roman"/>
        </w:rPr>
        <w:t>Overall</w:t>
      </w:r>
      <w:proofErr w:type="spellEnd"/>
      <w:r w:rsidRPr="00845570">
        <w:rPr>
          <w:rFonts w:ascii="Times New Roman" w:hAnsi="Times New Roman" w:cs="Times New Roman"/>
        </w:rPr>
        <w:t xml:space="preserve"> price change: 116.89%</w:t>
      </w:r>
      <w:r w:rsidR="00845570" w:rsidRPr="00845570">
        <w:rPr>
          <w:rFonts w:ascii="Times New Roman" w:hAnsi="Times New Roman" w:cs="Times New Roman"/>
        </w:rPr>
        <w:t xml:space="preserve"> </w:t>
      </w:r>
      <w:r w:rsidRPr="00845570">
        <w:rPr>
          <w:rFonts w:ascii="Times New Roman" w:hAnsi="Times New Roman" w:cs="Times New Roman"/>
        </w:rPr>
        <w:t>change across the 5-year period</w:t>
      </w:r>
    </w:p>
    <w:p w14:paraId="0DB8A5F2" w14:textId="6ECBB785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The 7-day, 30-day, and 90-day moving averages reveal clear short-, medium-, and long-term trend directions, with the 30/90-day MAs smoothing out daily volatility</w:t>
      </w:r>
    </w:p>
    <w:p w14:paraId="7FC2E9E3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Trading volume spikes tend to cluster around earnings announcements and major market events</w:t>
      </w:r>
    </w:p>
    <w:p w14:paraId="73939369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Monthly returns show recurring periods of positive momentum interrupted by short pullbacks</w:t>
      </w:r>
    </w:p>
    <w:p w14:paraId="7F8B1D59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</w:p>
    <w:p w14:paraId="16F1E96D" w14:textId="1349704B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  <w:b/>
          <w:bCs/>
          <w:u w:val="dash"/>
        </w:rPr>
      </w:pPr>
      <w:r w:rsidRPr="00845570">
        <w:rPr>
          <w:rFonts w:ascii="Times New Roman" w:hAnsi="Times New Roman" w:cs="Times New Roman"/>
          <w:u w:val="dash"/>
        </w:rPr>
        <w:t xml:space="preserve"> </w:t>
      </w:r>
      <w:r w:rsidRPr="00845570">
        <w:rPr>
          <w:rFonts w:ascii="Times New Roman" w:hAnsi="Times New Roman" w:cs="Times New Roman"/>
          <w:b/>
          <w:bCs/>
          <w:u w:val="dash"/>
        </w:rPr>
        <w:t>Features Engineered</w:t>
      </w:r>
    </w:p>
    <w:p w14:paraId="5994CB72" w14:textId="0441F615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Daily Price Change and Daily % Return</w:t>
      </w:r>
    </w:p>
    <w:p w14:paraId="3C4DADE1" w14:textId="5F96F0E5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Moving Averages (7, 30, 90-day)</w:t>
      </w:r>
    </w:p>
    <w:p w14:paraId="0B1465EF" w14:textId="18652DC8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- 30-Day Rolling Volatility</w:t>
      </w:r>
    </w:p>
    <w:p w14:paraId="28974975" w14:textId="542B0A9C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Cumulative Return % since period start</w:t>
      </w:r>
    </w:p>
    <w:p w14:paraId="4EE9D9DB" w14:textId="64191AE5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Bollinger-style Bands (30-day MA ± 2 std dev)</w:t>
      </w:r>
    </w:p>
    <w:p w14:paraId="7C5783EA" w14:textId="7D7119C4" w:rsidR="00653CB1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Up/Down Day Classification</w:t>
      </w:r>
    </w:p>
    <w:p w14:paraId="12DB8238" w14:textId="77777777" w:rsidR="00845570" w:rsidRPr="00845570" w:rsidRDefault="00845570" w:rsidP="00845570">
      <w:pPr>
        <w:spacing w:after="0" w:line="240" w:lineRule="auto"/>
        <w:rPr>
          <w:rFonts w:ascii="Times New Roman" w:hAnsi="Times New Roman" w:cs="Times New Roman"/>
        </w:rPr>
      </w:pPr>
    </w:p>
    <w:p w14:paraId="195B1BE6" w14:textId="77A2D69C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  <w:b/>
          <w:bCs/>
          <w:u w:val="dash"/>
        </w:rPr>
      </w:pPr>
      <w:r w:rsidRPr="00845570">
        <w:rPr>
          <w:rFonts w:ascii="Times New Roman" w:hAnsi="Times New Roman" w:cs="Times New Roman"/>
          <w:b/>
          <w:bCs/>
          <w:u w:val="dash"/>
        </w:rPr>
        <w:t xml:space="preserve"> Key Insights</w:t>
      </w:r>
    </w:p>
    <w:p w14:paraId="574A06FE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 xml:space="preserve">1. The stock exhibits a generally upward long-term trajectory, consistent with AAPL's overall market performance over the </w:t>
      </w:r>
      <w:proofErr w:type="spellStart"/>
      <w:r w:rsidRPr="00845570">
        <w:rPr>
          <w:rFonts w:ascii="Times New Roman" w:hAnsi="Times New Roman" w:cs="Times New Roman"/>
        </w:rPr>
        <w:t>analyzed</w:t>
      </w:r>
      <w:proofErr w:type="spellEnd"/>
      <w:r w:rsidRPr="00845570">
        <w:rPr>
          <w:rFonts w:ascii="Times New Roman" w:hAnsi="Times New Roman" w:cs="Times New Roman"/>
        </w:rPr>
        <w:t xml:space="preserve"> period</w:t>
      </w:r>
    </w:p>
    <w:p w14:paraId="4DFB2034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2. Volatility clusters around specific months rather than being evenly distributed, suggesting event-driven price swings</w:t>
      </w:r>
    </w:p>
    <w:p w14:paraId="360F543E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3. The number of "Up" days slightly outweighs "Down" days, reflecting a modestly bullish bias</w:t>
      </w:r>
    </w:p>
    <w:p w14:paraId="051F90D7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4. High trading volume days often coincide with the sharpest daily price changes, indicating strong market reaction to news/events</w:t>
      </w:r>
    </w:p>
    <w:p w14:paraId="27043211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018539" w14:textId="5C6A7EFE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  <w:b/>
          <w:bCs/>
          <w:u w:val="dash"/>
        </w:rPr>
      </w:pPr>
      <w:r w:rsidRPr="00845570">
        <w:rPr>
          <w:rFonts w:ascii="Times New Roman" w:hAnsi="Times New Roman" w:cs="Times New Roman"/>
          <w:b/>
          <w:bCs/>
        </w:rPr>
        <w:t xml:space="preserve"> </w:t>
      </w:r>
      <w:r w:rsidRPr="00845570">
        <w:rPr>
          <w:rFonts w:ascii="Times New Roman" w:hAnsi="Times New Roman" w:cs="Times New Roman"/>
          <w:b/>
          <w:bCs/>
          <w:u w:val="dash"/>
        </w:rPr>
        <w:t>Recommendations</w:t>
      </w:r>
    </w:p>
    <w:p w14:paraId="4060CDC0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Investors should monitor the 30-day and 90-day moving average crossovers as potential trend-reversal signals</w:t>
      </w:r>
    </w:p>
    <w:p w14:paraId="5CC203C2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Periods of elevated 30-day volatility warrant closer risk monitoring before entry/exit decisions</w:t>
      </w:r>
    </w:p>
    <w:p w14:paraId="1A170E7C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Further analysis could incorporate external event data (earnings dates, macroeconomic releases) to explain volume/volatility spikes more precisely</w:t>
      </w:r>
    </w:p>
    <w:p w14:paraId="019358D5" w14:textId="77777777" w:rsidR="00653CB1" w:rsidRPr="00845570" w:rsidRDefault="00653CB1" w:rsidP="00845570">
      <w:pPr>
        <w:spacing w:after="0" w:line="240" w:lineRule="auto"/>
        <w:rPr>
          <w:rFonts w:ascii="Times New Roman" w:hAnsi="Times New Roman" w:cs="Times New Roman"/>
        </w:rPr>
      </w:pPr>
      <w:r w:rsidRPr="00845570">
        <w:rPr>
          <w:rFonts w:ascii="Times New Roman" w:hAnsi="Times New Roman" w:cs="Times New Roman"/>
        </w:rPr>
        <w:t>- A comparative analysis against sector peers (e.g., MSFT, GOOGL) or the S&amp;P 500 index would help contextualize AAPL's relative performance</w:t>
      </w:r>
    </w:p>
    <w:p w14:paraId="62C24B93" w14:textId="6B91D9D7" w:rsidR="00000000" w:rsidRDefault="00000000" w:rsidP="00845570">
      <w:pPr>
        <w:spacing w:after="0" w:line="240" w:lineRule="auto"/>
      </w:pPr>
    </w:p>
    <w:sectPr w:rsidR="00E95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3F28"/>
    <w:multiLevelType w:val="hybridMultilevel"/>
    <w:tmpl w:val="53DA6C4A"/>
    <w:lvl w:ilvl="0" w:tplc="3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90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B1"/>
    <w:rsid w:val="00190475"/>
    <w:rsid w:val="00472ED0"/>
    <w:rsid w:val="00653CB1"/>
    <w:rsid w:val="00845570"/>
    <w:rsid w:val="00AB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F55D"/>
  <w15:chartTrackingRefBased/>
  <w15:docId w15:val="{F5960D39-1895-438B-867B-4531E720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C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B1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C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CB1"/>
    <w:rPr>
      <w:rFonts w:ascii="Consolas" w:hAnsi="Consolas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4557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Lindsly Muyonda</dc:creator>
  <cp:keywords/>
  <dc:description/>
  <cp:lastModifiedBy>Lindsly Muyonda</cp:lastModifiedBy>
  <cp:revision>1</cp:revision>
  <dcterms:created xsi:type="dcterms:W3CDTF">2026-07-13T12:26:00Z</dcterms:created>
  <dcterms:modified xsi:type="dcterms:W3CDTF">2026-07-13T12:42:00Z</dcterms:modified>
</cp:coreProperties>
</file>