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Licenciatura en Ciencia de Datos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Calidad y Preprocesamiento de Datos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Práctica 02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 el dataset de calidad del vino blanco winequality-white.csv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las herramientas vistas en clase, identifica: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 las columnas numéricas y las columnas categóricas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Porcentaje de datos faltantes por columna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Porcentaje de datos duplicados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Porcentaje de registros completos vs porcentaje de registros incompletos en todo el dataset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Porcentaje de registros con: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5% de datos faltantes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10% de datos faltantes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20% de datos faltantes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las columnas categóricas, identifica si hay algún valor moda con 50% de ocurrencia o más.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 uno de los frameworks/modelos de calidad de datos mencionados en clase (que no sea DAMA) y explica: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Cuál seleccionaste y porqué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ejes del modelo seleccionado considerarías para gestionar la calidad de los datos, ¿Todos? ¿Algunos? ¿En qué proporción o nivel de relevancia? Justifica tu respuesta.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cómo el modelo elegido abordaría al menos cinco dimensiones de calidad de datos?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Imagina que eres el encargado de calidad y gobernanza de datos en una institución de alguno de los siguientes ejes: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Educación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Salud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Investigación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Economía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Basándote en el framework/modelo de calidad de datos elegido en la sección anterior, desarrolla un ranking de los aspectos de calidad de datos que se evaluarían en tu organización. Justifica tu ranking y los porcentajes asignados a cada aspecto de tu evaluación.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 en la página: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https://archive.ics.uci.edu/datasets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Selecciona un dataset que podría estar enfocado al giro de la organización imaginaria del ejercicio anterior.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Descárgalo, elimina valores en diferentes celdas, introduce outliers, modifica columnas categóricas para que uno de los valores tenga una moda muy alta,   elimina registros aleatoriamente y genera duplicados.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 tu modelo de la sección 2 (Apóyate de un proceso de perfilamiento) y da el resultado de la evaluación del dataset ‘sucio’.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Elige las acciones que la organización debería realizar para mitigar los problemas encontrados en los datos.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extra: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una dimensión adicional, además de las cinco dimensiones de calidad de datos elegidas, e implementa un método para evaluar dicha dimensión.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Aplicalo también al dataset de la sección 3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entrega: 8 de abril de 2026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IMPORTANTE:</w:t>
        <w:br w:type="textWrapping"/>
        <w:t xml:space="preserve">Seguir los lineamientos de la entrega de prácticas y organizar con anticipación su presentación.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