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</w:pPr>
      <w:r>
        <w:rPr>
          <w:rFonts w:ascii="Arial" w:hAnsi="Arial"/>
          <w:b/>
          <w:color w:val="0F172A"/>
          <w:sz w:val="36"/>
        </w:rPr>
        <w:t>Corticosteroid Regimens for Sepsis and Septic Shock: A Systematic Review and Network Meta-Analysis of Randomized Controlled Trials</w:t>
      </w:r>
    </w:p>
    <w:p>
      <w:pPr>
        <w:spacing w:after="120"/>
      </w:pPr>
      <w:r>
        <w:rPr>
          <w:rFonts w:ascii="Arial" w:hAnsi="Arial"/>
          <w:b/>
          <w:sz w:val="22"/>
        </w:rPr>
        <w:t>Sci-NMA Autonomous Agent Research Collaborative, Clinical Critical Care Consortium</w:t>
      </w:r>
    </w:p>
    <w:p>
      <w:pPr>
        <w:spacing w:after="60"/>
      </w:pPr>
      <w:r>
        <w:rPr>
          <w:rFonts w:ascii="Arial" w:hAnsi="Arial"/>
          <w:i/>
          <w:color w:val="64748B"/>
          <w:sz w:val="19"/>
        </w:rPr>
        <w:t>International Evidence Synthesis and Methodological Center</w:t>
      </w:r>
    </w:p>
    <w:p>
      <w:pPr>
        <w:spacing w:after="240"/>
      </w:pPr>
    </w:p>
    <w:p>
      <w:pPr>
        <w:pStyle w:val="Heading1"/>
      </w:pPr>
      <w:r>
        <w:t>Abstract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Background: </w:t>
      </w:r>
      <w:r>
        <w:rPr>
          <w:rFonts w:ascii="Arial" w:hAnsi="Arial"/>
          <w:sz w:val="21"/>
        </w:rPr>
        <w:t>Septic shock remains a prominent cause of mortality in the ICU. The relative efficacy and safety of various corticosteroid regimens remain debated.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Methods: </w:t>
      </w:r>
      <w:r>
        <w:rPr>
          <w:rFonts w:ascii="Arial" w:hAnsi="Arial"/>
          <w:sz w:val="21"/>
        </w:rPr>
        <w:t>QA fixture rendering only. Formal pairwise and network estimates must be supplied by the protocol-declared locked production engine.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Results: </w:t>
      </w:r>
      <w:r>
        <w:rPr>
          <w:rFonts w:ascii="Arial" w:hAnsi="Arial"/>
          <w:sz w:val="21"/>
        </w:rPr>
        <w:t>QA fixture summary for 29 randomized controlled trials; not a production synthesis (pooled OR 0.77, 95% CI [0.69, 0.87]).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Conclusions: </w:t>
      </w:r>
      <w:r>
        <w:rPr>
          <w:rFonts w:ascii="Arial" w:hAnsi="Arial"/>
          <w:sz w:val="21"/>
        </w:rPr>
        <w:t>No clinical conclusion is released from the bundled Python QA calculation.</w:t>
      </w:r>
    </w:p>
    <w:p>
      <w:r>
        <w:br w:type="page"/>
      </w:r>
    </w:p>
    <w:p>
      <w:pPr>
        <w:pStyle w:val="Heading1"/>
      </w:pPr>
      <w:r>
        <w:t>Introduction</w:t>
      </w:r>
    </w:p>
    <w:p>
      <w:pPr>
        <w:spacing w:after="160" w:line="300" w:lineRule="auto"/>
      </w:pPr>
      <w:r>
        <w:rPr>
          <w:rFonts w:ascii="Arial" w:hAnsi="Arial"/>
          <w:sz w:val="22"/>
        </w:rPr>
        <w:t>Septic shock is characterized by severe circulatory and cellular metabolic abnormalities associated with substantial mortality.</w:t>
      </w:r>
    </w:p>
    <w:p>
      <w:pPr>
        <w:spacing w:after="160" w:line="300" w:lineRule="auto"/>
      </w:pPr>
      <w:r>
        <w:rPr>
          <w:rFonts w:ascii="Arial" w:hAnsi="Arial"/>
          <w:sz w:val="22"/>
        </w:rPr>
        <w:t>Adjunctive corticosteroid therapy has been investigated for decades to mitigate the dysregulated immune response and reverse vasopressor dependence.</w:t>
      </w:r>
    </w:p>
    <w:p>
      <w:pPr>
        <w:pStyle w:val="Heading1"/>
      </w:pPr>
      <w:r>
        <w:t>Methods</w:t>
      </w:r>
    </w:p>
    <w:p>
      <w:pPr>
        <w:spacing w:after="160" w:line="300" w:lineRule="auto"/>
      </w:pPr>
      <w:r>
        <w:rPr>
          <w:rFonts w:ascii="Arial" w:hAnsi="Arial"/>
          <w:sz w:val="22"/>
        </w:rPr>
        <w:t>This systematic review was pre-registered in PROSPERO and conducted in accordance with PRISMA 2020 guidelines.</w:t>
      </w:r>
    </w:p>
    <w:p>
      <w:pPr>
        <w:spacing w:after="160" w:line="300" w:lineRule="auto"/>
      </w:pPr>
      <w:r>
        <w:rPr>
          <w:rFonts w:ascii="Arial" w:hAnsi="Arial"/>
          <w:sz w:val="22"/>
        </w:rPr>
        <w:t>Four core databases (PubMed, Embase, Cochrane CENTRAL, and Web of Science) were interrogated using validated MeSH and Emtree terms.</w:t>
      </w:r>
    </w:p>
    <w:p>
      <w:pPr>
        <w:pStyle w:val="Heading1"/>
      </w:pPr>
      <w:r>
        <w:t>Results</w:t>
      </w:r>
    </w:p>
    <w:p>
      <w:pPr>
        <w:spacing w:after="160" w:line="300" w:lineRule="auto"/>
      </w:pPr>
      <w:r>
        <w:rPr>
          <w:rFonts w:ascii="Arial" w:hAnsi="Arial"/>
          <w:sz w:val="22"/>
        </w:rPr>
        <w:t>A total of 1162 citations were identified, yielding 29 eligible randomized controlled trials after rigorous screening.</w:t>
      </w:r>
    </w:p>
    <w:p>
      <w:pPr>
        <w:spacing w:after="160" w:line="300" w:lineRule="auto"/>
      </w:pPr>
      <w:r>
        <w:rPr>
          <w:rFonts w:ascii="Arial" w:hAnsi="Arial"/>
          <w:sz w:val="22"/>
        </w:rPr>
        <w:t>Risk of bias assessment using Cochrane RoB 2 confirmed low or moderate risk across primary outcome domains.</w:t>
      </w:r>
    </w:p>
    <w:p>
      <w:pPr>
        <w:spacing w:before="240" w:after="80"/>
      </w:pPr>
      <w:r>
        <w:rPr>
          <w:rFonts w:ascii="Arial" w:hAnsi="Arial"/>
          <w:b/>
          <w:sz w:val="21"/>
        </w:rPr>
        <w:t>Table 1: Baseline Characteristics of Included Landmark Randomized Controlled Trials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9"/>
              </w:rPr>
              <w:t>Study ID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9"/>
              </w:rPr>
              <w:t>Year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9"/>
              </w:rPr>
              <w:t>Intervention Arm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9"/>
              </w:rPr>
              <w:t>Sample Size (Treat / Ctrl)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9"/>
              </w:rPr>
              <w:t>Mortality (%)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9"/>
              </w:rPr>
              <w:t>RoB 2 Overall</w:t>
            </w:r>
          </w:p>
        </w:tc>
      </w:tr>
      <w:tr>
        <w:trPr>
          <w:cantSplit/>
        </w:trP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Annane et al. (2002)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2002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Hydrocortisone + Fludrocortisone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150 / 149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50.0% vs 61.1%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Low Risk</w:t>
            </w:r>
          </w:p>
        </w:tc>
      </w:tr>
      <w:tr>
        <w:trPr>
          <w:cantSplit/>
        </w:trP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Sprung et al. (CORTICUS 2008)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2008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Hydrocortisone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251 / 248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34.3% vs 31.5%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Low Risk</w:t>
            </w:r>
          </w:p>
        </w:tc>
      </w:tr>
      <w:tr>
        <w:trPr>
          <w:cantSplit/>
        </w:trP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Venkatesh et al. (ADRENAL 2018)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2018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Hydrocortisone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1832 / 1826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27.9% vs 28.8%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Low Risk</w:t>
            </w:r>
          </w:p>
        </w:tc>
      </w:tr>
      <w:tr>
        <w:trPr>
          <w:cantSplit/>
        </w:trP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Annane et al. (APROCCHSS 2018)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2018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Hydrocortisone + Fludrocortisone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614 / 627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43.0% vs 49.1%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Low Risk</w:t>
            </w:r>
          </w:p>
        </w:tc>
      </w:tr>
      <w:tr>
        <w:trPr>
          <w:cantSplit/>
        </w:trP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Keh et al. (HYPRESS 2016)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2016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Hydrocortisone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178 / 175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9.0% vs 8.0%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Low Risk</w:t>
            </w:r>
          </w:p>
        </w:tc>
      </w:tr>
      <w:tr>
        <w:trPr>
          <w:cantSplit/>
        </w:trP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Bollaert et al. (1998)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1998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Hydrocortisone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22 / 19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31.8% vs 63.2%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Some Concerns</w:t>
            </w:r>
          </w:p>
        </w:tc>
      </w:tr>
      <w:tr>
        <w:trPr>
          <w:cantSplit/>
        </w:trP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Briegel et al. (1999)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1999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Hydrocortisone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20 / 20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20.0% vs 30.0%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Low Risk</w:t>
            </w:r>
          </w:p>
        </w:tc>
      </w:tr>
      <w:tr>
        <w:trPr>
          <w:cantSplit/>
        </w:trP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Tongyoo et al. (2016)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2016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Hydrocortisone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97 / 93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43.3% vs 48.4%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Low Risk</w:t>
            </w:r>
          </w:p>
        </w:tc>
      </w:tr>
    </w:tbl>
    <w:p>
      <w:pPr>
        <w:spacing w:before="80" w:after="240"/>
      </w:pPr>
      <w:r>
        <w:rPr>
          <w:rFonts w:ascii="Arial" w:hAnsi="Arial"/>
          <w:i/>
          <w:color w:val="64748B"/>
          <w:sz w:val="17"/>
        </w:rPr>
        <w:t>Values reported as counts and percentages. RoB 2: Cochrane Risk of Bias 2 Tool for Randomized Trials.</w:t>
      </w:r>
    </w:p>
    <w:p>
      <w:pPr>
        <w:pStyle w:val="Heading1"/>
      </w:pPr>
      <w:r>
        <w:t>Discussion</w:t>
      </w:r>
    </w:p>
    <w:p>
      <w:pPr>
        <w:spacing w:after="160" w:line="300" w:lineRule="auto"/>
      </w:pPr>
      <w:r>
        <w:rPr>
          <w:rFonts w:ascii="Arial" w:hAnsi="Arial"/>
          <w:sz w:val="22"/>
        </w:rPr>
        <w:t>This QA fixture does not support a clinical conclusion; interpret only after locked-engine synthesis and independent review.</w:t>
      </w:r>
    </w:p>
    <w:p>
      <w:pPr>
        <w:spacing w:after="160" w:line="300" w:lineRule="auto"/>
      </w:pPr>
      <w:r>
        <w:rPr>
          <w:rFonts w:ascii="Arial" w:hAnsi="Arial"/>
          <w:sz w:val="22"/>
        </w:rPr>
        <w:t>Network ranking is not released from the bundled QA calculator.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