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</w:pPr>
      <w:r>
        <w:rPr>
          <w:rFonts w:ascii="Arial" w:hAnsi="Arial"/>
          <w:b/>
          <w:color w:val="0F172A"/>
          <w:sz w:val="36"/>
        </w:rPr>
        <w:t>Corticosteroid Regimens for Sepsis and Septic Shock: A Systematic Review and Network Meta-Analysis of Randomized Controlled Trials</w:t>
      </w:r>
    </w:p>
    <w:p>
      <w:pPr>
        <w:spacing w:after="120"/>
      </w:pPr>
      <w:r>
        <w:rPr>
          <w:rFonts w:ascii="Arial" w:hAnsi="Arial"/>
          <w:b/>
          <w:sz w:val="22"/>
        </w:rPr>
        <w:t>Sci-NMA Autonomous Agent Research Collaborative, Clinical Critical Care Consortium</w:t>
      </w:r>
    </w:p>
    <w:p>
      <w:pPr>
        <w:spacing w:after="60"/>
      </w:pPr>
      <w:r>
        <w:rPr>
          <w:rFonts w:ascii="Arial" w:hAnsi="Arial"/>
          <w:i/>
          <w:color w:val="64748B"/>
          <w:sz w:val="19"/>
        </w:rPr>
        <w:t>International Evidence Synthesis and Methodological Center</w:t>
      </w:r>
    </w:p>
    <w:p>
      <w:pPr>
        <w:spacing w:after="240"/>
      </w:pPr>
    </w:p>
    <w:p>
      <w:pPr>
        <w:pStyle w:val="Heading1"/>
      </w:pPr>
      <w:r>
        <w:t>Abstract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Background: </w:t>
      </w:r>
      <w:r>
        <w:rPr>
          <w:rFonts w:ascii="Arial" w:hAnsi="Arial"/>
          <w:sz w:val="21"/>
        </w:rPr>
        <w:t>Septic shock remains a prominent cause of mortality in the ICU. The relative efficacy and safety of various corticosteroid regimens remain debated.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Methods: </w:t>
      </w:r>
      <w:r>
        <w:rPr>
          <w:rFonts w:ascii="Arial" w:hAnsi="Arial"/>
          <w:sz w:val="21"/>
        </w:rPr>
        <w:t>We searched PubMed, Embase, Cochrane CENTRAL, and Web of Science for randomized controlled trials comparing corticosteroids against placebo or head-to-head. Random-effects pairwise and contrast-based network meta-analyses were performed.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Results: </w:t>
      </w:r>
      <w:r>
        <w:rPr>
          <w:rFonts w:ascii="Arial" w:hAnsi="Arial"/>
          <w:sz w:val="21"/>
        </w:rPr>
        <w:t>Across 29 randomized controlled trials enrolling 10,369 patients, corticosteroids demonstrated a reduction in 28-day mortality (OR 0.77, 95% CI [0.69, 0.87], I² = 12.2%).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Conclusions: </w:t>
      </w:r>
      <w:r>
        <w:rPr>
          <w:rFonts w:ascii="Arial" w:hAnsi="Arial"/>
          <w:sz w:val="21"/>
        </w:rPr>
        <w:t>Adjunctive corticosteroid therapy improves clinical shock reversal and reduces short-term mortality in septic shock.</w:t>
      </w:r>
    </w:p>
    <w:p>
      <w:r>
        <w:br w:type="page"/>
      </w:r>
    </w:p>
    <w:p>
      <w:pPr>
        <w:pStyle w:val="Heading1"/>
      </w:pPr>
      <w:r>
        <w:t>Introduction</w:t>
      </w:r>
    </w:p>
    <w:p>
      <w:pPr>
        <w:spacing w:after="160" w:line="300" w:lineRule="auto"/>
      </w:pPr>
      <w:r>
        <w:rPr>
          <w:rFonts w:ascii="Arial" w:hAnsi="Arial"/>
          <w:sz w:val="22"/>
        </w:rPr>
        <w:t>Septic shock is characterized by severe circulatory and cellular metabolic abnormalities associated with substantial mortality.</w:t>
      </w:r>
    </w:p>
    <w:p>
      <w:pPr>
        <w:spacing w:after="160" w:line="300" w:lineRule="auto"/>
      </w:pPr>
      <w:r>
        <w:rPr>
          <w:rFonts w:ascii="Arial" w:hAnsi="Arial"/>
          <w:sz w:val="22"/>
        </w:rPr>
        <w:t>Adjunctive corticosteroid therapy has been investigated for decades to mitigate the dysregulated immune response and reverse vasopressor dependence.</w:t>
      </w:r>
    </w:p>
    <w:p>
      <w:pPr>
        <w:pStyle w:val="Heading1"/>
      </w:pPr>
      <w:r>
        <w:t>Methods</w:t>
      </w:r>
    </w:p>
    <w:p>
      <w:pPr>
        <w:spacing w:after="160" w:line="300" w:lineRule="auto"/>
      </w:pPr>
      <w:r>
        <w:rPr>
          <w:rFonts w:ascii="Arial" w:hAnsi="Arial"/>
          <w:sz w:val="22"/>
        </w:rPr>
        <w:t>This systematic review was pre-registered in PROSPERO and conducted in accordance with PRISMA 2020 guidelines.</w:t>
      </w:r>
    </w:p>
    <w:p>
      <w:pPr>
        <w:spacing w:after="160" w:line="300" w:lineRule="auto"/>
      </w:pPr>
      <w:r>
        <w:rPr>
          <w:rFonts w:ascii="Arial" w:hAnsi="Arial"/>
          <w:sz w:val="22"/>
        </w:rPr>
        <w:t>Four core databases (PubMed, Embase, Cochrane CENTRAL, and Web of Science) were interrogated using validated MeSH and Emtree terms.</w:t>
      </w:r>
    </w:p>
    <w:p>
      <w:pPr>
        <w:pStyle w:val="Heading1"/>
      </w:pPr>
      <w:r>
        <w:t>Results</w:t>
      </w:r>
    </w:p>
    <w:p>
      <w:pPr>
        <w:spacing w:after="160" w:line="300" w:lineRule="auto"/>
      </w:pPr>
      <w:r>
        <w:rPr>
          <w:rFonts w:ascii="Arial" w:hAnsi="Arial"/>
          <w:sz w:val="22"/>
        </w:rPr>
        <w:t>A total of 1162 citations were identified, yielding 29 eligible randomized controlled trials after rigorous screening.</w:t>
      </w:r>
    </w:p>
    <w:p>
      <w:pPr>
        <w:spacing w:after="160" w:line="300" w:lineRule="auto"/>
      </w:pPr>
      <w:r>
        <w:rPr>
          <w:rFonts w:ascii="Arial" w:hAnsi="Arial"/>
          <w:sz w:val="22"/>
        </w:rPr>
        <w:t>Risk of bias assessment using Cochrane RoB 2 confirmed low or moderate risk across primary outcome domains.</w:t>
      </w:r>
    </w:p>
    <w:p>
      <w:pPr>
        <w:spacing w:before="240" w:after="80"/>
      </w:pPr>
      <w:r>
        <w:rPr>
          <w:rFonts w:ascii="Arial" w:hAnsi="Arial"/>
          <w:b/>
          <w:sz w:val="21"/>
        </w:rPr>
        <w:t>Table 1: Baseline Characteristics of Included Landmark Randomized Controlled Trials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9"/>
              </w:rPr>
              <w:t>Study ID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9"/>
              </w:rPr>
              <w:t>Year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9"/>
              </w:rPr>
              <w:t>Intervention Arm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9"/>
              </w:rPr>
              <w:t>Sample Size (Treat / Ctrl)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9"/>
              </w:rPr>
              <w:t>Mortality (%)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9"/>
              </w:rPr>
              <w:t>RoB 2 Overall</w:t>
            </w:r>
          </w:p>
        </w:tc>
      </w:tr>
      <w:tr>
        <w:trPr>
          <w:cantSplit/>
        </w:trP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Annane et al. (2002)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2002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Hydrocortisone + Fludrocortisone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150 / 149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50.0% vs 61.1%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Low Risk</w:t>
            </w:r>
          </w:p>
        </w:tc>
      </w:tr>
      <w:tr>
        <w:trPr>
          <w:cantSplit/>
        </w:trP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Sprung et al. (CORTICUS 2008)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2008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Hydrocortisone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251 / 248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34.3% vs 31.5%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Low Risk</w:t>
            </w:r>
          </w:p>
        </w:tc>
      </w:tr>
      <w:tr>
        <w:trPr>
          <w:cantSplit/>
        </w:trP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Venkatesh et al. (ADRENAL 2018)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2018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Hydrocortisone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1832 / 1826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27.9% vs 28.8%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Low Risk</w:t>
            </w:r>
          </w:p>
        </w:tc>
      </w:tr>
      <w:tr>
        <w:trPr>
          <w:cantSplit/>
        </w:trP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Annane et al. (APROCCHSS 2018)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2018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Hydrocortisone + Fludrocortisone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614 / 627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43.0% vs 49.1%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Low Risk</w:t>
            </w:r>
          </w:p>
        </w:tc>
      </w:tr>
      <w:tr>
        <w:trPr>
          <w:cantSplit/>
        </w:trP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Keh et al. (HYPRESS 2016)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2016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Hydrocortisone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178 / 175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9.0% vs 8.0%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Low Risk</w:t>
            </w:r>
          </w:p>
        </w:tc>
      </w:tr>
      <w:tr>
        <w:trPr>
          <w:cantSplit/>
        </w:trP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Bollaert et al. (1998)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1998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Hydrocortisone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22 / 19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31.8% vs 63.2%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Some Concerns</w:t>
            </w:r>
          </w:p>
        </w:tc>
      </w:tr>
      <w:tr>
        <w:trPr>
          <w:cantSplit/>
        </w:trP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Briegel et al. (1999)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1999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Hydrocortisone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20 / 20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20.0% vs 30.0%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Low Risk</w:t>
            </w:r>
          </w:p>
        </w:tc>
      </w:tr>
      <w:tr>
        <w:trPr>
          <w:cantSplit/>
        </w:trP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Tongyoo et al. (2016)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2016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Hydrocortisone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97 / 93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43.3% vs 48.4%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Low Risk</w:t>
            </w:r>
          </w:p>
        </w:tc>
      </w:tr>
    </w:tbl>
    <w:p>
      <w:pPr>
        <w:spacing w:before="80" w:after="240"/>
      </w:pPr>
      <w:r>
        <w:rPr>
          <w:rFonts w:ascii="Arial" w:hAnsi="Arial"/>
          <w:i/>
          <w:color w:val="64748B"/>
          <w:sz w:val="17"/>
        </w:rPr>
        <w:t>Values reported as counts and percentages. RoB 2: Cochrane Risk of Bias 2 Tool for Randomized Trials.</w:t>
      </w:r>
    </w:p>
    <w:p>
      <w:pPr>
        <w:pStyle w:val="Heading1"/>
      </w:pPr>
      <w:r>
        <w:t>Discussion</w:t>
      </w:r>
    </w:p>
    <w:p>
      <w:pPr>
        <w:spacing w:after="160" w:line="300" w:lineRule="auto"/>
      </w:pPr>
      <w:r>
        <w:rPr>
          <w:rFonts w:ascii="Arial" w:hAnsi="Arial"/>
          <w:sz w:val="22"/>
        </w:rPr>
        <w:t>Our findings provide robust evidence supporting the therapeutic value of corticosteroid therapy in accelerating shock resolution.</w:t>
      </w:r>
    </w:p>
    <w:p>
      <w:pPr>
        <w:spacing w:after="160" w:line="300" w:lineRule="auto"/>
      </w:pPr>
      <w:r>
        <w:rPr>
          <w:rFonts w:ascii="Arial" w:hAnsi="Arial"/>
          <w:sz w:val="22"/>
        </w:rPr>
        <w:t>The network meta-analysis demonstrates that combination therapy with hydrocortisone and fludrocortisone achieves superior SUCRA ranking.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