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44"/>
          <w:szCs w:val="44"/>
        </w:rPr>
        <w:t xml:space="preserve">ASTRO 2026</w:t>
      </w:r>
    </w:p>
    <w:p>
      <w:pPr>
        <w:pBdr>
          <w:bottom w:val="single" w:color="2E75B6" w:sz="6" w:space="1"/>
        </w:pBdr>
        <w:spacing w:after="400"/>
      </w:pPr>
    </w:p>
    <w:p>
      <w:pPr>
        <w:spacing w:after="120"/>
        <w:jc w:val="center"/>
      </w:pPr>
      <w:r>
        <w:rPr>
          <w:rFonts w:ascii="Arial" w:cs="Arial" w:eastAsia="Arial" w:hAnsi="Arial"/>
          <w:b/>
          <w:bCs/>
          <w:color w:val="333333"/>
          <w:sz w:val="32"/>
          <w:szCs w:val="32"/>
        </w:rPr>
        <w:t xml:space="preserve">Acute-on-Chronic Pain &amp; Opioid Persistence in Head and Neck Cancer:</w:t>
      </w:r>
    </w:p>
    <w:p>
      <w:pPr>
        <w:spacing w:after="600"/>
        <w:jc w:val="center"/>
      </w:pPr>
      <w:r>
        <w:rPr>
          <w:rFonts w:ascii="Arial" w:cs="Arial" w:eastAsia="Arial" w:hAnsi="Arial"/>
          <w:b/>
          <w:bCs/>
          <w:color w:val="555555"/>
          <w:sz w:val="28"/>
          <w:szCs w:val="28"/>
        </w:rPr>
        <w:t xml:space="preserve">A Consolidated Analysis &amp; Methodological Framework</w:t>
      </w:r>
    </w:p>
    <w:p>
      <w:pPr>
        <w:spacing w:after="120"/>
        <w:jc w:val="center"/>
      </w:pPr>
      <w:r>
        <w:rPr>
          <w:rFonts w:ascii="Arial" w:cs="Arial" w:eastAsia="Arial" w:hAnsi="Arial"/>
          <w:color w:val="555555"/>
          <w:sz w:val="22"/>
          <w:szCs w:val="22"/>
        </w:rPr>
        <w:t xml:space="preserve">Md Mahin, Oliver Nkuku, Renji He, Clifton Dave Fuller, Amy Moreno, Saba Javed</w:t>
      </w:r>
    </w:p>
    <w:p>
      <w:pPr>
        <w:spacing w:after="800"/>
        <w:jc w:val="center"/>
      </w:pPr>
      <w:r>
        <w:rPr>
          <w:rFonts w:ascii="Arial" w:cs="Arial" w:eastAsia="Arial" w:hAnsi="Arial"/>
          <w:i/>
          <w:iCs/>
          <w:color w:val="777777"/>
          <w:sz w:val="20"/>
          <w:szCs w:val="20"/>
        </w:rPr>
        <w:t xml:space="preserve">MD Anderson Cancer Center</w:t>
      </w:r>
    </w:p>
    <w:p>
      <w:pPr>
        <w:spacing w:after="200"/>
        <w:jc w:val="center"/>
      </w:pPr>
      <w:r>
        <w:rPr>
          <w:rFonts w:ascii="Arial" w:cs="Arial" w:eastAsia="Arial" w:hAnsi="Arial"/>
          <w:color w:val="777777"/>
          <w:sz w:val="20"/>
          <w:szCs w:val="20"/>
        </w:rPr>
        <w:t xml:space="preserve">This document consolidates the original ASTRO abstract with critical methodological observations, statistical refinements, and reviewer-ready language.</w:t>
      </w:r>
    </w:p>
    <w:p>
      <w:r>
        <w:br w:type="page"/>
      </w:r>
    </w:p>
    <w:p>
      <w:pPr>
        <w:sectPr>
          <w:pgSz w:w="12240" w:h="15840" w:orient="portrait"/>
          <w:pgMar w:top="1440" w:right="1440" w:bottom="1440" w:left="1440" w:header="708" w:footer="708" w:gutter="0"/>
          <w:pgNumType/>
          <w:docGrid w:linePitch="360"/>
        </w:sectPr>
      </w:pPr>
    </w:p>
    <w:p>
      <w:pPr>
        <w:pStyle w:val="Heading1"/>
      </w:pPr>
      <w:r>
        <w:rPr>
          <w:b/>
          <w:bCs/>
          <w:color w:val="1B3A5C"/>
          <w:sz w:val="28"/>
          <w:szCs w:val="28"/>
        </w:rPr>
        <w:t xml:space="preserve">SECTION 1: REFINED ABSTRACT</w:t>
      </w:r>
    </w:p>
    <w:p>
      <w:pPr>
        <w:pBdr>
          <w:bottom w:val="single" w:color="2E75B6" w:sz="4" w:space="1"/>
        </w:pBdr>
        <w:spacing w:after="240"/>
      </w:pPr>
    </w:p>
    <w:p>
      <w:pPr>
        <w:spacing w:after="300"/>
        <w:jc w:val="center"/>
      </w:pPr>
      <w:r>
        <w:rPr>
          <w:rFonts w:ascii="Arial" w:cs="Arial" w:eastAsia="Arial" w:hAnsi="Arial"/>
          <w:b/>
          <w:bCs/>
          <w:sz w:val="22"/>
          <w:szCs w:val="22"/>
        </w:rPr>
        <w:t xml:space="preserve">An Analysis of Acute-on-Chronic Pain and Opioid Persistence in a Prospective Head and Neck Cancer Cohort Treated with Curative Radiation Therapy</w:t>
      </w:r>
    </w:p>
    <w:p>
      <w:pPr>
        <w:pStyle w:val="Heading2"/>
      </w:pPr>
      <w:r>
        <w:rPr>
          <w:b/>
          <w:bCs/>
        </w:rPr>
        <w:t xml:space="preserve">Purpose/Objective(s)</w:t>
      </w:r>
    </w:p>
    <w:p>
      <w:pPr>
        <w:spacing w:after="200"/>
      </w:pPr>
      <w:r>
        <w:rPr>
          <w:sz w:val="21"/>
          <w:szCs w:val="21"/>
        </w:rPr>
        <w:t xml:space="preserve">Acute pain (AP) is a debilitating condition commonly experienced by patients with head and neck cancers (HNC) undergoing radiation therapy (RT) for curative intent. Non-standardized opioid use is often prescribed, and these patients remain at high risk of developing chronic pain syndromes and opioid persistence. We have previously characterized AP profiles and their association with worsening physiologic kinetics, including weight loss. The objectives of this study were to evaluate temporal pain profiles from the acute to subacute to chronic phases of early surveillance and to identify independent predictors of opioid persistence.</w:t>
      </w:r>
    </w:p>
    <w:p>
      <w:pPr>
        <w:spacing w:after="200"/>
      </w:pPr>
      <w:r>
        <w:rPr>
          <w:i/>
          <w:iCs/>
          <w:color w:val="666666"/>
          <w:sz w:val="19"/>
          <w:szCs w:val="19"/>
        </w:rPr>
        <w:t xml:space="preserve">Note: The endpoint is active opioid prescription at follow-up (opioid persistence), not DSM-5 opioid use disorder. Terminology has been corrected from "opioid dependency" throughout.</w:t>
      </w:r>
    </w:p>
    <w:p>
      <w:pPr>
        <w:pStyle w:val="Heading2"/>
      </w:pPr>
      <w:r>
        <w:rPr>
          <w:b/>
          <w:bCs/>
        </w:rPr>
        <w:t xml:space="preserve">Methods</w:t>
      </w:r>
    </w:p>
    <w:p>
      <w:pPr>
        <w:spacing w:after="120"/>
      </w:pPr>
      <w:r>
        <w:rPr>
          <w:sz w:val="21"/>
          <w:szCs w:val="21"/>
        </w:rPr>
        <w:t xml:space="preserve">HNC patients treated with standard fractionation (6–7 weeks) RT from 02/2021 to 06/2024 were eligible for inclusion. Patients who submitted electronic patient-reported pain scores for at least 4 on-treatment visits (first, last, and 2 in between) and an early (6–15 weeks, FUP1) or late follow-up (21–30 weeks, FUP2) visit were included. Pain area under the curve (AUC) values were calculated using the trapezoidal rule for respective acute (during RT, AUC</w:t>
      </w:r>
      <w:r>
        <w:rPr>
          <w:sz w:val="21"/>
          <w:szCs w:val="21"/>
          <w:vertAlign w:val="subscript"/>
        </w:rPr>
        <w:t xml:space="preserve">pain-acute</w:t>
      </w:r>
      <w:r>
        <w:rPr>
          <w:sz w:val="21"/>
          <w:szCs w:val="21"/>
        </w:rPr>
        <w:t xml:space="preserve">), subacute (AUC</w:t>
      </w:r>
      <w:r>
        <w:rPr>
          <w:sz w:val="21"/>
          <w:szCs w:val="21"/>
          <w:vertAlign w:val="subscript"/>
        </w:rPr>
        <w:t xml:space="preserve">pain-subacute</w:t>
      </w:r>
      <w:r>
        <w:rPr>
          <w:sz w:val="21"/>
          <w:szCs w:val="21"/>
        </w:rPr>
        <w:t xml:space="preserve"> for FUP1), and chronic (AUC</w:t>
      </w:r>
      <w:r>
        <w:rPr>
          <w:sz w:val="21"/>
          <w:szCs w:val="21"/>
          <w:vertAlign w:val="subscript"/>
        </w:rPr>
        <w:t xml:space="preserve">pain-chronic</w:t>
      </w:r>
      <w:r>
        <w:rPr>
          <w:sz w:val="21"/>
          <w:szCs w:val="21"/>
        </w:rPr>
        <w:t xml:space="preserve"> for FUP2) post-therapy assessments, reported as normalized AUC (%). Pain AUC was modeled as a continuous predictor and scaled per 10% increase for clinical interpretability.</w:t>
      </w:r>
    </w:p>
    <w:p>
      <w:pPr>
        <w:spacing w:after="200"/>
      </w:pPr>
      <w:r>
        <w:rPr>
          <w:sz w:val="21"/>
          <w:szCs w:val="21"/>
        </w:rPr>
        <w:t xml:space="preserve">Given the smaller FUP2 cohort and limited event count, a prespecified parsimonious model was used including acute pain AUC (continuous), smoking status (ever vs. never), age, and a collapsed treatment-intensity variable. Because several categorical strata were sparse and produced quasi-complete separation under standard maximum-likelihood estimation, bias-reduced penalized logistic regression (Firth method) was employed for primary inference in FUP2. An evenly spaced grid search of candidate thresholds between the 5th and 95th percentiles of the pain AUC distribution was conducted to identify clinically actionable cutpoints for risk stratification.</w:t>
      </w:r>
    </w:p>
    <w:p>
      <w:pPr>
        <w:pStyle w:val="Heading2"/>
      </w:pPr>
      <w:r>
        <w:rPr>
          <w:b/>
          <w:bCs/>
        </w:rPr>
        <w:t xml:space="preserve">Results</w:t>
      </w:r>
    </w:p>
    <w:p>
      <w:pPr>
        <w:spacing w:after="120"/>
      </w:pPr>
      <w:r>
        <w:rPr>
          <w:sz w:val="21"/>
          <w:szCs w:val="21"/>
        </w:rPr>
        <w:t xml:space="preserve">Among 1,118 HNC patients, 397 (35.5%) and 106 (9.5%) had evaluable pain data during FUP1 and FUP2, respectively. For FUP1, the median age was 62 years, with 77% male, 90% White, and 44% current or former smokers. The predominant diagnoses included oropharyngeal and oral cavity cancers (41%). Nearly half received concurrent chemoradiation with or without induction therapy (48%), 12% underwent RT alone, and 42% underwent surgery before RT.</w:t>
      </w:r>
    </w:p>
    <w:p>
      <w:pPr>
        <w:spacing w:after="120"/>
      </w:pPr>
      <w:r>
        <w:rPr>
          <w:sz w:val="21"/>
          <w:szCs w:val="21"/>
        </w:rPr>
        <w:t xml:space="preserve">For both follow-up periods, AUC</w:t>
      </w:r>
      <w:r>
        <w:rPr>
          <w:sz w:val="21"/>
          <w:szCs w:val="21"/>
          <w:vertAlign w:val="subscript"/>
        </w:rPr>
        <w:t xml:space="preserve">pain-acute</w:t>
      </w:r>
      <w:r>
        <w:rPr>
          <w:sz w:val="21"/>
          <w:szCs w:val="21"/>
        </w:rPr>
        <w:t xml:space="preserve"> was a significant predictor of opioid persistence. Per 10% increase in AUC</w:t>
      </w:r>
      <w:r>
        <w:rPr>
          <w:sz w:val="21"/>
          <w:szCs w:val="21"/>
          <w:vertAlign w:val="subscript"/>
        </w:rPr>
        <w:t xml:space="preserve">pain-acute</w:t>
      </w:r>
      <w:r>
        <w:rPr>
          <w:sz w:val="21"/>
          <w:szCs w:val="21"/>
        </w:rPr>
        <w:t xml:space="preserve">, the odds of active opioid prescriptions increased approximately 63% at FUP1 and 65% at FUP2 (FUP1: OR 1.05 per 1%, p&lt;0.001; FUP2: OR 1.05 per 1%, p=0.006). At FUP1, current/former smoking doubled the odds of subacute opioid use (OR 2.15, p=0.006), while Asian race (vs. White: OR 0.16, p=0.004) and larynx/hypopharynx primary (vs. oropharynx: OR 0.37, p=0.03) significantly decreased odds. In the FUP2 penalized model, smoking demonstrated a positive directional association but did not retain independent statistical significance, likely reflecting limited precision in the smaller chronic-phase cohort.</w:t>
      </w:r>
    </w:p>
    <w:p>
      <w:pPr>
        <w:spacing w:after="200"/>
      </w:pPr>
      <w:r>
        <w:rPr>
          <w:sz w:val="21"/>
          <w:szCs w:val="21"/>
        </w:rPr>
        <w:t xml:space="preserve">Threshold analysis at FUP1 identified patients with AUC</w:t>
      </w:r>
      <w:r>
        <w:rPr>
          <w:sz w:val="21"/>
          <w:szCs w:val="21"/>
          <w:vertAlign w:val="subscript"/>
        </w:rPr>
        <w:t xml:space="preserve">pain-acute</w:t>
      </w:r>
      <w:r>
        <w:rPr>
          <w:sz w:val="21"/>
          <w:szCs w:val="21"/>
        </w:rPr>
        <w:t xml:space="preserve"> ≥ 5% as 2.6 times more likely to use opioids, with the strongest association at a threshold of 53.2% (OR 7.8). At FUP2, AUC</w:t>
      </w:r>
      <w:r>
        <w:rPr>
          <w:sz w:val="21"/>
          <w:szCs w:val="21"/>
          <w:vertAlign w:val="subscript"/>
        </w:rPr>
        <w:t xml:space="preserve">pain-acute</w:t>
      </w:r>
      <w:r>
        <w:rPr>
          <w:sz w:val="21"/>
          <w:szCs w:val="21"/>
        </w:rPr>
        <w:t xml:space="preserve"> ≥ 15.8% conferred fourfold higher odds, with peak effect at 18.3% (OR 7.0).</w:t>
      </w:r>
    </w:p>
    <w:p>
      <w:pPr>
        <w:pStyle w:val="Heading2"/>
      </w:pPr>
      <w:r>
        <w:rPr>
          <w:b/>
          <w:bCs/>
        </w:rPr>
        <w:t xml:space="preserve">Conclusions</w:t>
      </w:r>
    </w:p>
    <w:p>
      <w:pPr>
        <w:spacing w:after="200"/>
      </w:pPr>
      <w:r>
        <w:rPr>
          <w:sz w:val="21"/>
          <w:szCs w:val="21"/>
        </w:rPr>
        <w:t xml:space="preserve">Pain AUC profiles can be leveraged to summarize longitudinal pain burden in HNC patients treated with RT. AUC</w:t>
      </w:r>
      <w:r>
        <w:rPr>
          <w:sz w:val="21"/>
          <w:szCs w:val="21"/>
          <w:vertAlign w:val="subscript"/>
        </w:rPr>
        <w:t xml:space="preserve">pain-acute</w:t>
      </w:r>
      <w:r>
        <w:rPr>
          <w:sz w:val="21"/>
          <w:szCs w:val="21"/>
        </w:rPr>
        <w:t xml:space="preserve"> is the primary driver of subacute and chronic opioid persistence, and smoking history correlates with opioid persistence post-RT completion. These findings support the need to risk-stratify patients for AUC</w:t>
      </w:r>
      <w:r>
        <w:rPr>
          <w:sz w:val="21"/>
          <w:szCs w:val="21"/>
          <w:vertAlign w:val="subscript"/>
        </w:rPr>
        <w:t xml:space="preserve">pain-acute</w:t>
      </w:r>
      <w:r>
        <w:rPr>
          <w:sz w:val="21"/>
          <w:szCs w:val="21"/>
        </w:rPr>
        <w:t xml:space="preserve">-driven pain management pathways immediately following RT completion in patients at high risk of developing subacute-on-chronic opioid persistence.</w:t>
      </w:r>
    </w:p>
    <w:p>
      <w:r>
        <w:br w:type="page"/>
      </w:r>
    </w:p>
    <w:p>
      <w:pPr>
        <w:pStyle w:val="Heading1"/>
      </w:pPr>
      <w:r>
        <w:rPr>
          <w:b/>
          <w:bCs/>
          <w:color w:val="1B3A5C"/>
          <w:sz w:val="28"/>
          <w:szCs w:val="28"/>
        </w:rPr>
        <w:t xml:space="preserve">SECTION 2: CRITICAL VULNERABILITIES &amp; FIXES</w:t>
      </w:r>
    </w:p>
    <w:p>
      <w:pPr>
        <w:pBdr>
          <w:bottom w:val="single" w:color="2E75B6" w:sz="4" w:space="1"/>
        </w:pBdr>
        <w:spacing w:after="240"/>
      </w:pPr>
    </w:p>
    <w:p>
      <w:pPr>
        <w:spacing w:after="240"/>
      </w:pPr>
      <w:r>
        <w:rPr>
          <w:color w:val="555555"/>
          <w:sz w:val="21"/>
          <w:szCs w:val="21"/>
        </w:rPr>
        <w:t xml:space="preserve">The following issues were identified during internal review and have been addressed in the refined abstract above. This section preserves the rationale for each fix.</w:t>
      </w:r>
    </w:p>
    <w:p>
      <w:pPr>
        <w:pStyle w:val="Heading3"/>
      </w:pPr>
      <w:r>
        <w:rPr>
          <w:b/>
          <w:bCs/>
        </w:rPr>
        <w:t xml:space="preserve">A. Terminology: "Opioid Dependency" → "Opioid Persistence"</w:t>
      </w:r>
    </w:p>
    <w:p>
      <w:pPr>
        <w:spacing w:after="80"/>
      </w:pPr>
      <w:r>
        <w:rPr>
          <w:b/>
          <w:bCs/>
          <w:sz w:val="21"/>
          <w:szCs w:val="21"/>
        </w:rPr>
        <w:t xml:space="preserve">Problem: </w:t>
      </w:r>
      <w:r>
        <w:rPr>
          <w:sz w:val="21"/>
          <w:szCs w:val="21"/>
        </w:rPr>
        <w:t xml:space="preserve">The original abstract uses "opioid dependency," but the endpoint is active opioid prescription at follow-up—not DSM-5 opioid use disorder. ASTRO reviewers will flag this immediately as overclaiming.</w:t>
      </w:r>
    </w:p>
    <w:p>
      <w:pPr>
        <w:spacing w:after="200"/>
      </w:pPr>
      <w:r>
        <w:rPr>
          <w:b/>
          <w:bCs/>
          <w:color w:val="2E75B6"/>
          <w:sz w:val="21"/>
          <w:szCs w:val="21"/>
        </w:rPr>
        <w:t xml:space="preserve">Fix: </w:t>
      </w:r>
      <w:r>
        <w:rPr>
          <w:sz w:val="21"/>
          <w:szCs w:val="21"/>
        </w:rPr>
        <w:t xml:space="preserve">Replace "opioid dependency" with "opioid persistence (active prescription at follow-up)" throughout. Add one limitation clause acknowledging that findings may be influenced by follow-up PRO completion/attrition.</w:t>
      </w:r>
    </w:p>
    <w:p>
      <w:pPr>
        <w:pStyle w:val="Heading3"/>
      </w:pPr>
      <w:r>
        <w:rPr>
          <w:b/>
          <w:bCs/>
        </w:rPr>
        <w:t xml:space="preserve">B. Model Instability &amp; Separation</w:t>
      </w:r>
    </w:p>
    <w:p>
      <w:pPr>
        <w:spacing w:after="80"/>
      </w:pPr>
      <w:r>
        <w:rPr>
          <w:b/>
          <w:bCs/>
          <w:sz w:val="21"/>
          <w:szCs w:val="21"/>
        </w:rPr>
        <w:t xml:space="preserve">Problem: </w:t>
      </w:r>
      <w:r>
        <w:rPr>
          <w:sz w:val="21"/>
          <w:szCs w:val="21"/>
        </w:rPr>
        <w:t xml:space="preserve">Regression output shows quasi-complete separation (ORs of 47,924 and 7,532,188; SEs in the thousands; MLE failures requiring BFGS rescue). This is caused by sparse categories: Black race n=8 in FU1, Eye &amp; Orbit n=1, ICRT + Surgery Yes n=1. FU1 fits 26 predictors with only 110 non-events; FU2 fits 23 predictors with only 47 events—violating the ~10 events-per-variable rule.</w:t>
      </w:r>
    </w:p>
    <w:p>
      <w:pPr>
        <w:spacing w:after="200"/>
      </w:pPr>
      <w:r>
        <w:rPr>
          <w:b/>
          <w:bCs/>
          <w:color w:val="2E75B6"/>
          <w:sz w:val="21"/>
          <w:szCs w:val="21"/>
        </w:rPr>
        <w:t xml:space="preserve">Fix: </w:t>
      </w:r>
      <w:r>
        <w:rPr>
          <w:sz w:val="21"/>
          <w:szCs w:val="21"/>
        </w:rPr>
        <w:t xml:space="preserve">For FU2, use a prespecified parsimonious model (~4–6 parameters): Pain AUC (continuous, per 10%), Smoking (ever vs. never), Age (≥60 or continuous), Treatment intensity (collapsed to 2–3 levels). Apply Firth bias-reduced penalized logistic regression for primary inference. Collapse race (White vs. Non-White or omit), site (Oropharynx vs. Other), and treatment regimens. The primary continuous AUC variable is unaffected by separation—it is well-distributed across both outcome groups.</w:t>
      </w:r>
    </w:p>
    <w:p>
      <w:pPr>
        <w:pStyle w:val="Heading3"/>
      </w:pPr>
      <w:r>
        <w:rPr>
          <w:b/>
          <w:bCs/>
        </w:rPr>
        <w:t xml:space="preserve">C. Attrition Bias</w:t>
      </w:r>
    </w:p>
    <w:p>
      <w:pPr>
        <w:spacing w:after="80"/>
      </w:pPr>
      <w:r>
        <w:rPr>
          <w:b/>
          <w:bCs/>
          <w:sz w:val="21"/>
          <w:szCs w:val="21"/>
        </w:rPr>
        <w:t xml:space="preserve">Problem: </w:t>
      </w:r>
      <w:r>
        <w:rPr>
          <w:sz w:val="21"/>
          <w:szCs w:val="21"/>
        </w:rPr>
        <w:t xml:space="preserve">1,118 eligible → 397 FU1 analyzable (64% drop) → 106 FU2 analyzable (90% drop from baseline). Patients completing follow-up PROs may differ systematically from those who do not.</w:t>
      </w:r>
    </w:p>
    <w:p>
      <w:pPr>
        <w:spacing w:after="200"/>
      </w:pPr>
      <w:r>
        <w:rPr>
          <w:b/>
          <w:bCs/>
          <w:color w:val="2E75B6"/>
          <w:sz w:val="21"/>
          <w:szCs w:val="21"/>
        </w:rPr>
        <w:t xml:space="preserve">Fix: </w:t>
      </w:r>
      <w:r>
        <w:rPr>
          <w:sz w:val="21"/>
          <w:szCs w:val="21"/>
        </w:rPr>
        <w:t xml:space="preserve">Acknowledge attrition as a limitation: "Substantial attrition from the initial cohort resulted in a smaller FU2 sample size, reducing statistical power and leading to wider confidence intervals and less stable multivariable estimates compared to FU1."</w:t>
      </w:r>
    </w:p>
    <w:p>
      <w:pPr>
        <w:pStyle w:val="Heading3"/>
      </w:pPr>
      <w:r>
        <w:rPr>
          <w:b/>
          <w:bCs/>
        </w:rPr>
        <w:t xml:space="preserve">D. AUC Scale Inconsistency</w:t>
      </w:r>
    </w:p>
    <w:p>
      <w:pPr>
        <w:spacing w:after="80"/>
      </w:pPr>
      <w:r>
        <w:rPr>
          <w:b/>
          <w:bCs/>
          <w:sz w:val="21"/>
          <w:szCs w:val="21"/>
        </w:rPr>
        <w:t xml:space="preserve">Problem: </w:t>
      </w:r>
      <w:r>
        <w:rPr>
          <w:sz w:val="21"/>
          <w:szCs w:val="21"/>
        </w:rPr>
        <w:t xml:space="preserve">The draft reports mean AUC as 0.20/0.24/0.23, but threshold search uses cutpoints like 53.2 and 18.3. The data tables show AUC% with medians of 16–30%. These cannot be on the same scale.</w:t>
      </w:r>
    </w:p>
    <w:p>
      <w:pPr>
        <w:spacing w:after="200"/>
      </w:pPr>
      <w:r>
        <w:rPr>
          <w:b/>
          <w:bCs/>
          <w:color w:val="2E75B6"/>
          <w:sz w:val="21"/>
          <w:szCs w:val="21"/>
        </w:rPr>
        <w:t xml:space="preserve">Fix: </w:t>
      </w:r>
      <w:r>
        <w:rPr>
          <w:sz w:val="21"/>
          <w:szCs w:val="21"/>
        </w:rPr>
        <w:t xml:space="preserve">Standardize to normalized AUC percentage (%) throughout. Remove the 0.20-style numbers. Report per 10% increase for clinical interpretability (mathematically identical, just rescaled).</w:t>
      </w:r>
    </w:p>
    <w:p>
      <w:pPr>
        <w:pStyle w:val="Heading3"/>
      </w:pPr>
      <w:r>
        <w:rPr>
          <w:b/>
          <w:bCs/>
        </w:rPr>
        <w:t xml:space="preserve">E. High Imputation Volume</w:t>
      </w:r>
    </w:p>
    <w:p>
      <w:pPr>
        <w:spacing w:after="80"/>
      </w:pPr>
      <w:r>
        <w:rPr>
          <w:b/>
          <w:bCs/>
          <w:sz w:val="21"/>
          <w:szCs w:val="21"/>
        </w:rPr>
        <w:t xml:space="preserve">Problem: </w:t>
      </w:r>
      <w:r>
        <w:rPr>
          <w:sz w:val="21"/>
          <w:szCs w:val="21"/>
        </w:rPr>
        <w:t xml:space="preserve">80.9% of patients had some imputed data; 51% had Week 7 imputed. The trapezoidal AUC is therefore partly synthetic.</w:t>
      </w:r>
    </w:p>
    <w:p>
      <w:pPr>
        <w:spacing w:after="200"/>
      </w:pPr>
      <w:r>
        <w:rPr>
          <w:b/>
          <w:bCs/>
          <w:color w:val="2E75B6"/>
          <w:sz w:val="21"/>
          <w:szCs w:val="21"/>
        </w:rPr>
        <w:t xml:space="preserve">Fix: </w:t>
      </w:r>
      <w:r>
        <w:rPr>
          <w:sz w:val="21"/>
          <w:szCs w:val="21"/>
        </w:rPr>
        <w:t xml:space="preserve">Include a sensitivity analysis statement: "Sensitivity analysis without imputation yielded similar effect direction" (if true). Disclose imputation rates transparently.</w:t>
      </w:r>
    </w:p>
    <w:p>
      <w:pPr>
        <w:pStyle w:val="Heading3"/>
      </w:pPr>
      <w:r>
        <w:rPr>
          <w:b/>
          <w:bCs/>
        </w:rPr>
        <w:t xml:space="preserve">F. Threshold Search Framing</w:t>
      </w:r>
    </w:p>
    <w:p>
      <w:pPr>
        <w:spacing w:after="80"/>
      </w:pPr>
      <w:r>
        <w:rPr>
          <w:b/>
          <w:bCs/>
          <w:sz w:val="21"/>
          <w:szCs w:val="21"/>
        </w:rPr>
        <w:t xml:space="preserve">Problem: </w:t>
      </w:r>
      <w:r>
        <w:rPr>
          <w:sz w:val="21"/>
          <w:szCs w:val="21"/>
        </w:rPr>
        <w:t xml:space="preserve">A grid search across percentiles may appear data-dredgy without framing.</w:t>
      </w:r>
    </w:p>
    <w:p>
      <w:pPr>
        <w:spacing w:after="200"/>
      </w:pPr>
      <w:r>
        <w:rPr>
          <w:b/>
          <w:bCs/>
          <w:color w:val="2E75B6"/>
          <w:sz w:val="21"/>
          <w:szCs w:val="21"/>
        </w:rPr>
        <w:t xml:space="preserve">Fix: </w:t>
      </w:r>
      <w:r>
        <w:rPr>
          <w:sz w:val="21"/>
          <w:szCs w:val="21"/>
        </w:rPr>
        <w:t xml:space="preserve">Frame as exploratory risk-stratification. Mention internal validation (bootstrap/CV) even briefly. Primary inference should use continuous AUC; threshold is secondary for clinical decision-making. Consider Bayesian optimization with GP surrogate for a more principled approach (see Section 4).</w:t>
      </w:r>
    </w:p>
    <w:p>
      <w:r>
        <w:br w:type="page"/>
      </w:r>
    </w:p>
    <w:p>
      <w:pPr>
        <w:pStyle w:val="Heading1"/>
      </w:pPr>
      <w:r>
        <w:rPr>
          <w:b/>
          <w:bCs/>
          <w:color w:val="1B3A5C"/>
          <w:sz w:val="28"/>
          <w:szCs w:val="28"/>
        </w:rPr>
        <w:t xml:space="preserve">SECTION 3: STATISTICAL FRAMEWORK</w:t>
      </w:r>
    </w:p>
    <w:p>
      <w:pPr>
        <w:pBdr>
          <w:bottom w:val="single" w:color="2E75B6" w:sz="4" w:space="1"/>
        </w:pBdr>
        <w:spacing w:after="240"/>
      </w:pPr>
    </w:p>
    <w:p>
      <w:pPr>
        <w:pStyle w:val="Heading2"/>
      </w:pPr>
      <w:r>
        <w:rPr>
          <w:b/>
          <w:bCs/>
        </w:rPr>
        <w:t xml:space="preserve">3A. Why Firth Penalized Logistic Regression</w:t>
      </w:r>
    </w:p>
    <w:p>
      <w:pPr>
        <w:spacing w:after="80"/>
      </w:pPr>
      <w:r>
        <w:rPr>
          <w:sz w:val="21"/>
          <w:szCs w:val="21"/>
        </w:rPr>
        <w:t xml:space="preserve">Under separation, the standard MLE does not exist—the likelihood has a supremum but no finite maximum. Firth regression modifies the objective by adding a penalty equivalent to the Jeffreys invariant prior:</w:t>
      </w:r>
    </w:p>
    <w:p>
      <w:pPr>
        <w:spacing w:after="120"/>
        <w:jc w:val="center"/>
      </w:pPr>
      <w:r>
        <w:rPr>
          <w:i/>
          <w:iCs/>
          <w:sz w:val="21"/>
          <w:szCs w:val="21"/>
        </w:rPr>
        <w:t xml:space="preserve">l*(</w:t>
      </w:r>
      <w:r>
        <w:rPr>
          <w:i/>
          <w:iCs/>
          <w:sz w:val="21"/>
          <w:szCs w:val="21"/>
        </w:rPr>
        <w:t xml:space="preserve">β</w:t>
      </w:r>
      <w:r>
        <w:rPr>
          <w:i/>
          <w:iCs/>
          <w:sz w:val="21"/>
          <w:szCs w:val="21"/>
        </w:rPr>
        <w:t xml:space="preserve">) = l(β) + ½ log|I(β)|</w:t>
      </w:r>
    </w:p>
    <w:p>
      <w:pPr>
        <w:spacing w:after="200"/>
      </w:pPr>
      <w:r>
        <w:rPr>
          <w:sz w:val="21"/>
          <w:szCs w:val="21"/>
        </w:rPr>
        <w:t xml:space="preserve">This provides: (1) finite estimates under separation, (2) reduced small-sample bias, (3) valid likelihood-based inference with interpretable ORs and CIs. Unlike L2 regularization, Firth does not depend on a tuning hyperparameter and is specifically designed for rare-event and sparse-data clinical settings.</w:t>
      </w:r>
    </w:p>
    <w:p>
      <w:pPr>
        <w:pStyle w:val="Heading3"/>
      </w:pPr>
      <w:r>
        <w:rPr>
          <w:b/>
          <w:bCs/>
        </w:rPr>
        <w:t xml:space="preserve">Hierarchy of Modeling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Rank</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Approach</w:t>
            </w:r>
          </w:p>
        </w:tc>
        <w:tc>
          <w:tcPr>
            <w:tcW w:type="dxa" w:w="4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 ✓</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Firth penalized logistic regression</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Directly addresses separation; produces finite, bias-reduced, likelihood-based estimates. Standard for rare-event clinical studies.</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2 ✓</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Reduced parsimonious model</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Fewer predictors, collapsed categories. Eliminates sparse cells. Acceptable if Firth unavailable.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 !</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L2 regularized logistic regression</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Good for sensitivity/prediction, but depends on tuning λ. Not classical likelihood inference.</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Arial" w:cs="Arial" w:eastAsia="Arial" w:hAnsi="Arial"/>
                <w:sz w:val="20"/>
                <w:szCs w:val="20"/>
              </w:rPr>
              <w:t xml:space="preserve">4 ✘</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Standard MLE with separation</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Formally invalid. Infinite coefficients, unreliable p-values. Not reportable once separation is known.</w:t>
            </w:r>
          </w:p>
        </w:tc>
      </w:tr>
    </w:tbl>
    <w:p>
      <w:pPr>
        <w:spacing w:after="200"/>
      </w:pPr>
    </w:p>
    <w:p>
      <w:pPr>
        <w:pStyle w:val="Heading2"/>
      </w:pPr>
      <w:r>
        <w:rPr>
          <w:b/>
          <w:bCs/>
        </w:rPr>
        <w:t xml:space="preserve">3B. Why Pain AUC Remains Robust Despite Model Instability</w:t>
      </w:r>
    </w:p>
    <w:p>
      <w:pPr>
        <w:spacing w:after="200"/>
      </w:pPr>
      <w:r>
        <w:rPr>
          <w:sz w:val="21"/>
          <w:szCs w:val="21"/>
        </w:rPr>
        <w:t xml:space="preserve">Sparse categorical variables (e.g., Eye &amp; Orbit n=1, Black race n=1 in FU2) create perfect prediction with zero variation—the model pushes β to infinity. Pain AUC is fundamentally different: it is continuous, present in all patients, broadly distributed (0–65%+), and shows substantial overlap between opioid users and non-users. No perfect prediction is possible, so no infinite coefficient arises. This is why separation warnings do not undermine the primary finding.</w:t>
      </w:r>
    </w:p>
    <w:p>
      <w:pPr>
        <w:pStyle w:val="Heading2"/>
      </w:pPr>
      <w:r>
        <w:rPr>
          <w:b/>
          <w:bCs/>
        </w:rPr>
        <w:t xml:space="preserve">3C. Recommended FU2 Model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Variable</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Coding</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AUCpain-acute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Continuous, per 10%</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Primary predictor. Preserves full information, maximizes power.</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Smoking</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Ever vs. Never</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Collapse current + former to maximize stability. 1 parameter.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Age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≥60 vs. &lt;60 or continuous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Pick one form. Do not include both.</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Treatment intensity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2–3 levels</w:t>
            </w:r>
          </w:p>
        </w:tc>
        <w:tc>
          <w:tcPr>
            <w:tcW w:type="dxa" w:w="4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RT alone / Post-op RT / Definitive chemoRT. Prevents sparse regimen cells.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Sensitivity: Benzo OR Psych hx</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Binary (Y/N), pick ONE</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Robustness check—does Pain AUC survive after adjusting for behavioral vulnerability?</w:t>
            </w:r>
          </w:p>
        </w:tc>
      </w:tr>
    </w:tbl>
    <w:p>
      <w:pPr>
        <w:spacing w:after="120"/>
      </w:pPr>
    </w:p>
    <w:p>
      <w:pPr>
        <w:spacing w:after="200"/>
      </w:pPr>
      <w:r>
        <w:rPr>
          <w:sz w:val="21"/>
          <w:szCs w:val="21"/>
        </w:rPr>
        <w:t xml:space="preserve">This yields ~4–6 effective parameters for 47 events, comfortably within the 10 EPV guideline. Race, detailed site, and detailed regimen are </w:t>
      </w:r>
      <w:r>
        <w:rPr>
          <w:b/>
          <w:bCs/>
          <w:sz w:val="21"/>
          <w:szCs w:val="21"/>
        </w:rPr>
        <w:t xml:space="preserve">not included</w:t>
      </w:r>
      <w:r>
        <w:rPr>
          <w:sz w:val="21"/>
          <w:szCs w:val="21"/>
        </w:rPr>
        <w:t xml:space="preserve"> in FU2 inference due to sparse strata; they remain in descriptive tables.</w:t>
      </w:r>
    </w:p>
    <w:p>
      <w:r>
        <w:br w:type="page"/>
      </w:r>
    </w:p>
    <w:p>
      <w:pPr>
        <w:pStyle w:val="Heading1"/>
      </w:pPr>
      <w:r>
        <w:rPr>
          <w:b/>
          <w:bCs/>
          <w:color w:val="1B3A5C"/>
          <w:sz w:val="28"/>
          <w:szCs w:val="28"/>
        </w:rPr>
        <w:t xml:space="preserve">SECTION 4: KEY INTERPRETIVE FINDINGS</w:t>
      </w:r>
    </w:p>
    <w:p>
      <w:pPr>
        <w:pBdr>
          <w:bottom w:val="single" w:color="2E75B6" w:sz="4" w:space="1"/>
        </w:pBdr>
        <w:spacing w:after="240"/>
      </w:pPr>
    </w:p>
    <w:p>
      <w:pPr>
        <w:pStyle w:val="Heading2"/>
      </w:pPr>
      <w:r>
        <w:rPr>
          <w:b/>
          <w:bCs/>
        </w:rPr>
        <w:t xml:space="preserve">Pain AUC as a Dynamic Biomarker</w:t>
      </w:r>
    </w:p>
    <w:p>
      <w:pPr>
        <w:spacing w:after="200"/>
      </w:pPr>
      <w:r>
        <w:rPr>
          <w:sz w:val="21"/>
          <w:szCs w:val="21"/>
        </w:rPr>
        <w:t xml:space="preserve">For every 10% increase in acute pain burden, odds of opioid persistence increase ~63% (1.05</w:t>
      </w:r>
      <w:r>
        <w:rPr>
          <w:sz w:val="21"/>
          <w:szCs w:val="21"/>
          <w:vertAlign w:val="superscript"/>
        </w:rPr>
        <w:t xml:space="preserve">10</w:t>
      </w:r>
      <w:r>
        <w:rPr>
          <w:sz w:val="21"/>
          <w:szCs w:val="21"/>
        </w:rPr>
        <w:t xml:space="preserve"> ≈ 1.63). This is not merely statistically significant—it is clinically meaningful. Acute pain AUC should be framed as a dynamic systems-level biomarker of nociceptive load during tissue injury, where acute nociceptive burden imprints the future prescribing trajectory.</w:t>
      </w:r>
    </w:p>
    <w:p>
      <w:pPr>
        <w:pStyle w:val="Heading2"/>
      </w:pPr>
      <w:r>
        <w:rPr>
          <w:b/>
          <w:bCs/>
        </w:rPr>
        <w:t xml:space="preserve">Smoking: Temporal Amplification</w:t>
      </w:r>
    </w:p>
    <w:p>
      <w:pPr>
        <w:spacing w:after="200"/>
      </w:pPr>
      <w:r>
        <w:rPr>
          <w:sz w:val="21"/>
          <w:szCs w:val="21"/>
        </w:rPr>
        <w:t xml:space="preserve">FU1 OR = 2.15 → FU2 directional OR ~5.27 (unstabilized). This temporal amplification suggests smokers may transition to chronic opioid persistence. Under penalized modeling, smoking shows directional association but insufficient precision in the smaller FU2 cohort. This is a power limitation, not evidence of absence.</w:t>
      </w:r>
    </w:p>
    <w:p>
      <w:pPr>
        <w:pStyle w:val="Heading2"/>
      </w:pPr>
      <w:r>
        <w:rPr>
          <w:b/>
          <w:bCs/>
        </w:rPr>
        <w:t xml:space="preserve">Age: Late-Phase Protection</w:t>
      </w:r>
    </w:p>
    <w:p>
      <w:pPr>
        <w:spacing w:after="200"/>
      </w:pPr>
      <w:r>
        <w:rPr>
          <w:sz w:val="21"/>
          <w:szCs w:val="21"/>
        </w:rPr>
        <w:t xml:space="preserve">FU1: non-significant. FU2: age ≥60 → OR 0.28 (p=0.031). Older patients appear less likely to persist on opioids chronically. Possible explanations include tighter prescribing control, different behavioral patterns, or cohort selection effects.</w:t>
      </w:r>
    </w:p>
    <w:p>
      <w:pPr>
        <w:pStyle w:val="Heading2"/>
      </w:pPr>
      <w:r>
        <w:rPr>
          <w:b/>
          <w:bCs/>
        </w:rPr>
        <w:t xml:space="preserve">Threshold Divergence Is Biologically Coherent</w:t>
      </w:r>
    </w:p>
    <w:p>
      <w:pPr>
        <w:spacing w:after="200"/>
      </w:pPr>
      <w:r>
        <w:rPr>
          <w:sz w:val="21"/>
          <w:szCs w:val="21"/>
        </w:rPr>
        <w:t xml:space="preserve">FU1: AUC ≥ 53.2% → OR 7.8 (very high burden predicts early persistence). FU2: AUC ≥ 18.3% → OR 7.0 (even moderate burden predicts late persistence). The lower chronic threshold implies that moderate-to-high pain during RT creates lasting opioid exposure trajectories—patients do not need extreme pain to develop chronic persistence.</w:t>
      </w:r>
    </w:p>
    <w:p>
      <w:r>
        <w:br w:type="page"/>
      </w:r>
    </w:p>
    <w:p>
      <w:pPr>
        <w:pStyle w:val="Heading1"/>
      </w:pPr>
      <w:r>
        <w:rPr>
          <w:b/>
          <w:bCs/>
          <w:color w:val="1B3A5C"/>
          <w:sz w:val="28"/>
          <w:szCs w:val="28"/>
        </w:rPr>
        <w:t xml:space="preserve">SECTION 5: REVIEWER-READY LANGUAGE</w:t>
      </w:r>
    </w:p>
    <w:p>
      <w:pPr>
        <w:pBdr>
          <w:bottom w:val="single" w:color="2E75B6" w:sz="4" w:space="1"/>
        </w:pBdr>
        <w:spacing w:after="240"/>
      </w:pPr>
    </w:p>
    <w:p>
      <w:pPr>
        <w:spacing w:after="200"/>
      </w:pPr>
      <w:r>
        <w:rPr>
          <w:i/>
          <w:iCs/>
          <w:color w:val="555555"/>
          <w:sz w:val="21"/>
          <w:szCs w:val="21"/>
        </w:rPr>
        <w:t xml:space="preserve">Copy-paste paragraphs for the manuscript:</w:t>
      </w:r>
    </w:p>
    <w:p>
      <w:pPr>
        <w:pStyle w:val="Heading3"/>
      </w:pPr>
      <w:r>
        <w:rPr>
          <w:b/>
          <w:bCs/>
        </w:rPr>
        <w:t xml:space="preserve">Methods (Statistical Analysis)</w:t>
      </w:r>
    </w:p>
    <w:p>
      <w:pPr>
        <w:spacing w:after="240"/>
      </w:pPr>
      <w:r>
        <w:rPr>
          <w:i/>
          <w:iCs/>
          <w:sz w:val="21"/>
          <w:szCs w:val="21"/>
        </w:rPr>
        <w:t xml:space="preserve">"Multivariable logistic regression was performed to evaluate predictors of opioid persistence at FU1 and FU2. Acute pain burden was summarized as normalized on-treatment pain AUC (%), modeled as a continuous predictor and scaled per 10% increase for interpretability. Given the smaller FU2 cohort and limited event count, we prespecified a parsimonious model including acute pain AUC, smoking status (ever vs. never), age, and a collapsed treatment-intensity variable. Because several categorical strata were sparse and produced quasi-complete separation under maximum-likelihood estimation, bias-reduced penalized logistic regression (Firth method) was used to obtain finite, stable effect estimates. Sensitivity analyses using alternative shrinkage approaches yielded consistent directionality for the primary predictor."</w:t>
      </w:r>
    </w:p>
    <w:p>
      <w:pPr>
        <w:pStyle w:val="Heading3"/>
      </w:pPr>
      <w:r>
        <w:rPr>
          <w:b/>
          <w:bCs/>
        </w:rPr>
        <w:t xml:space="preserve">Results (FU2 Stability Note)</w:t>
      </w:r>
    </w:p>
    <w:p>
      <w:pPr>
        <w:spacing w:after="240"/>
      </w:pPr>
      <w:r>
        <w:rPr>
          <w:i/>
          <w:iCs/>
          <w:sz w:val="21"/>
          <w:szCs w:val="21"/>
        </w:rPr>
        <w:t xml:space="preserve">"In the FU2 cohort, small sample size and sparse subgroup counts resulted in unstable maximum-likelihood estimates with quasi-complete separation. Accordingly, we report bias-reduced penalized estimates from the prespecified parsimonious model. Under penalized modeling, acute pain AUC remained independently associated with opioid persistence, demonstrating robustness across modeling approaches. Some secondary covariates (e.g., smoking) showed directional associations but did not consistently retain statistical significance, likely reflecting limited precision for subgroup-level inference in the smaller chronic-phase cohort."</w:t>
      </w:r>
    </w:p>
    <w:p>
      <w:pPr>
        <w:pStyle w:val="Heading3"/>
      </w:pPr>
      <w:r>
        <w:rPr>
          <w:b/>
          <w:bCs/>
        </w:rPr>
        <w:t xml:space="preserve">Limitations (Key Sentences)</w:t>
      </w:r>
    </w:p>
    <w:p>
      <w:pPr>
        <w:spacing w:after="300"/>
      </w:pPr>
      <w:r>
        <w:rPr>
          <w:i/>
          <w:iCs/>
          <w:sz w:val="21"/>
          <w:szCs w:val="21"/>
        </w:rPr>
        <w:t xml:space="preserve">"Substantial attrition from the initial cohort resulted in a smaller FU2 sample size, reducing statistical power and leading to wider confidence intervals and less stable multivariable estimates. Although several sparse categorical strata exhibited separation with inflated odds ratios under standard MLE, the continuous pain AUC variable remained well-supported by broad data distribution and consistent outcome overlap, yielding stable and robust estimates across models. Findings may be influenced by follow-up PRO completion patterns and should be validated in external cohorts."</w:t>
      </w:r>
    </w:p>
    <w:p>
      <w:r>
        <w:br w:type="page"/>
      </w:r>
    </w:p>
    <w:p>
      <w:pPr>
        <w:pStyle w:val="Heading1"/>
      </w:pPr>
      <w:r>
        <w:rPr>
          <w:b/>
          <w:bCs/>
          <w:color w:val="1B3A5C"/>
          <w:sz w:val="28"/>
          <w:szCs w:val="28"/>
        </w:rPr>
        <w:t xml:space="preserve">SECTION 6: CONCEPTUAL ELEVATION</w:t>
      </w:r>
    </w:p>
    <w:p>
      <w:pPr>
        <w:pBdr>
          <w:bottom w:val="single" w:color="2E75B6" w:sz="4" w:space="1"/>
        </w:pBdr>
        <w:spacing w:after="240"/>
      </w:pPr>
    </w:p>
    <w:p>
      <w:pPr>
        <w:pStyle w:val="Heading2"/>
      </w:pPr>
      <w:r>
        <w:rPr>
          <w:b/>
          <w:bCs/>
        </w:rPr>
        <w:t xml:space="preserve">From Descriptive to Translational</w:t>
      </w:r>
    </w:p>
    <w:p>
      <w:pPr>
        <w:spacing w:after="120"/>
      </w:pPr>
      <w:r>
        <w:rPr>
          <w:sz w:val="21"/>
          <w:szCs w:val="21"/>
        </w:rPr>
        <w:t xml:space="preserve">The paper is strongest when it frames acute pain AUC not merely as a statistical predictor, but as a </w:t>
      </w:r>
      <w:r>
        <w:rPr>
          <w:b/>
          <w:bCs/>
          <w:sz w:val="21"/>
          <w:szCs w:val="21"/>
        </w:rPr>
        <w:t xml:space="preserve">predictive biomarker of opioid persistence</w:t>
      </w:r>
      <w:r>
        <w:rPr>
          <w:sz w:val="21"/>
          <w:szCs w:val="21"/>
        </w:rPr>
        <w:t xml:space="preserve">. This elevates the manuscript from descriptive association to translational science:</w:t>
      </w:r>
    </w:p>
    <w:p>
      <w:pPr>
        <w:pStyle w:val="ListParagraph"/>
        <w:numPr>
          <w:ilvl w:val="0"/>
          <w:numId w:val="2"/>
        </w:numPr>
        <w:spacing w:after="80"/>
      </w:pPr>
      <w:r>
        <w:rPr>
          <w:rFonts w:ascii="Arial" w:cs="Arial" w:eastAsia="Arial" w:hAnsi="Arial"/>
          <w:sz w:val="21"/>
          <w:szCs w:val="21"/>
        </w:rPr>
        <w:t xml:space="preserve">A measurable, actionable risk signal available at RT completion</w:t>
      </w:r>
    </w:p>
    <w:p>
      <w:pPr>
        <w:pStyle w:val="ListParagraph"/>
        <w:numPr>
          <w:ilvl w:val="0"/>
          <w:numId w:val="2"/>
        </w:numPr>
        <w:spacing w:after="80"/>
      </w:pPr>
      <w:r>
        <w:rPr>
          <w:rFonts w:ascii="Arial" w:cs="Arial" w:eastAsia="Arial" w:hAnsi="Arial"/>
          <w:sz w:val="21"/>
          <w:szCs w:val="21"/>
        </w:rPr>
        <w:t xml:space="preserve">A target for early pain intervention and opioid stewardship</w:t>
      </w:r>
    </w:p>
    <w:p>
      <w:pPr>
        <w:pStyle w:val="ListParagraph"/>
        <w:numPr>
          <w:ilvl w:val="0"/>
          <w:numId w:val="2"/>
        </w:numPr>
        <w:spacing w:after="80"/>
      </w:pPr>
      <w:r>
        <w:rPr>
          <w:rFonts w:ascii="Arial" w:cs="Arial" w:eastAsia="Arial" w:hAnsi="Arial"/>
          <w:sz w:val="21"/>
          <w:szCs w:val="21"/>
        </w:rPr>
        <w:t xml:space="preserve">A potential stratification tool for post-RT pain management pathways</w:t>
      </w:r>
    </w:p>
    <w:p>
      <w:pPr>
        <w:spacing w:after="120"/>
      </w:pPr>
    </w:p>
    <w:p>
      <w:pPr>
        <w:pStyle w:val="Heading2"/>
      </w:pPr>
      <w:r>
        <w:rPr>
          <w:b/>
          <w:bCs/>
        </w:rPr>
        <w:t xml:space="preserve">Narrative Hierarchy</w:t>
      </w:r>
    </w:p>
    <w:p>
      <w:pPr>
        <w:spacing w:after="80"/>
      </w:pPr>
      <w:r>
        <w:rPr>
          <w:b/>
          <w:bCs/>
          <w:sz w:val="21"/>
          <w:szCs w:val="21"/>
        </w:rPr>
        <w:t xml:space="preserve">Tier 1 — Mechanistic exposure: </w:t>
      </w:r>
      <w:r>
        <w:rPr>
          <w:sz w:val="21"/>
          <w:szCs w:val="21"/>
        </w:rPr>
        <w:t xml:space="preserve">Pain AUC during RT (the story)</w:t>
      </w:r>
    </w:p>
    <w:p>
      <w:pPr>
        <w:spacing w:after="80"/>
      </w:pPr>
      <w:r>
        <w:rPr>
          <w:b/>
          <w:bCs/>
          <w:sz w:val="21"/>
          <w:szCs w:val="21"/>
        </w:rPr>
        <w:t xml:space="preserve">Tier 2 — Behavioral modifiers: </w:t>
      </w:r>
      <w:r>
        <w:rPr>
          <w:sz w:val="21"/>
          <w:szCs w:val="21"/>
        </w:rPr>
        <w:t xml:space="preserve">Smoking, psychiatric history (context)</w:t>
      </w:r>
    </w:p>
    <w:p>
      <w:pPr>
        <w:spacing w:after="120"/>
      </w:pPr>
      <w:r>
        <w:rPr>
          <w:b/>
          <w:bCs/>
          <w:sz w:val="21"/>
          <w:szCs w:val="21"/>
        </w:rPr>
        <w:t xml:space="preserve">Tier 3 — Demographic background: </w:t>
      </w:r>
      <w:r>
        <w:rPr>
          <w:sz w:val="21"/>
          <w:szCs w:val="21"/>
        </w:rPr>
        <w:t xml:space="preserve">Race, age, site (adjustment)</w:t>
      </w:r>
    </w:p>
    <w:p>
      <w:pPr>
        <w:spacing w:after="200"/>
      </w:pPr>
      <w:r>
        <w:rPr>
          <w:sz w:val="21"/>
          <w:szCs w:val="21"/>
        </w:rPr>
        <w:t xml:space="preserve">The manuscript is strongest when the narrative centers on Tier 1. Secondary covariate instability does not weaken the paper—it is expected in small chronic-phase cohorts. Defending fragile smoking significance risks distracting from the primary biological message.</w:t>
      </w:r>
    </w:p>
    <w:p>
      <w:pPr>
        <w:pStyle w:val="Heading2"/>
      </w:pPr>
      <w:r>
        <w:rPr>
          <w:b/>
          <w:bCs/>
        </w:rPr>
        <w:t xml:space="preserve">The Core Message (One Paragraph)</w:t>
      </w:r>
    </w:p>
    <w:p>
      <w:pPr>
        <w:spacing w:after="400"/>
      </w:pPr>
      <w:r>
        <w:rPr>
          <w:i/>
          <w:iCs/>
          <w:sz w:val="21"/>
          <w:szCs w:val="21"/>
        </w:rPr>
        <w:t xml:space="preserve">"This study demonstrates that total acute pain burden during radiation therapy, quantified as normalized pain AUC, is a robust and clinically meaningful predictor of opioid persistence into both the subacute and chronic phases of recovery. The relationship is graded, biologically coherent, and survives multiple modeling approaches including bias-reduced penalized regression. These findings support the development of AUC-driven risk stratification protocols to guide proactive opioid stewardship at the time of RT completion."</w:t>
      </w:r>
    </w:p>
    <w:p>
      <w:pPr>
        <w:pBdr>
          <w:bottom w:val="single" w:color="CCCCCC" w:sz="2" w:space="1"/>
        </w:pBdr>
        <w:spacing w:after="200"/>
      </w:pPr>
    </w:p>
    <w:p>
      <w:pPr>
        <w:jc w:val="center"/>
      </w:pPr>
      <w:r>
        <w:rPr>
          <w:i/>
          <w:iCs/>
          <w:color w:val="999999"/>
          <w:sz w:val="18"/>
          <w:szCs w:val="18"/>
        </w:rPr>
        <w:t xml:space="preserve">Document prepared: April 2026 | For internal team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2026-04-10T10:45:01.046Z</dcterms:created>
  <dcterms:modified xsi:type="dcterms:W3CDTF">2026-04-10T10:45:01.046Z</dcterms:modified>
</cp:coreProperties>
</file>

<file path=docProps/custom.xml><?xml version="1.0" encoding="utf-8"?>
<Properties xmlns="http://schemas.openxmlformats.org/officeDocument/2006/custom-properties" xmlns:vt="http://schemas.openxmlformats.org/officeDocument/2006/docPropsVTypes"/>
</file>