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城市地下空间水灾人群疏散计算实验</w:t>
        <w:br/>
        <w:t>实验原理与科学性说明</w:t>
      </w:r>
    </w:p>
    <w:p>
      <w:pPr>
        <w:spacing w:after="240"/>
        <w:jc w:val="center"/>
      </w:pPr>
      <w:r>
        <w:rPr>
          <w:sz w:val="24"/>
          <w:rFonts w:eastAsia="楷体"/>
        </w:rPr>
        <w:t>数据与知识双驱动 · 基于大语言模型智能体的计算实验研究</w:t>
      </w:r>
    </w:p>
    <w:p>
      <w:pPr>
        <w:pageBreakBefore/>
        <w:jc w:val="center"/>
      </w:pPr>
      <w:r>
        <w:rPr>
          <w:b/>
          <w:sz w:val="28"/>
        </w:rPr>
        <w:t>目录</w:t>
      </w:r>
    </w:p>
    <w:p>
      <w:pPr>
        <w:pStyle w:val="TOC1"/>
        <w:tabs>
          <w:tab w:val="right" w:leader="dot" w:pos="9072"/>
        </w:tabs>
      </w:pPr>
      <w:r>
        <w:fldChar w:fldCharType="begin"/>
      </w:r>
      <w:r>
        <w:instrText xml:space="preserve"> TOC \o "1-2" \h \z \u </w:instrText>
      </w:r>
      <w:r>
        <w:fldChar w:fldCharType="separate"/>
      </w:r>
      <w:hyperlink w:anchor="_LarkToc00001" w:history="1">
        <w:r>
          <w:t>一、实验原理</w:t>
        </w:r>
        <w:r>
          <w:tab/>
        </w:r>
        <w:r>
          <w:fldChar w:fldCharType="begin"/>
        </w:r>
        <w:r>
          <w:instrText xml:space="preserve"> PAGEREF _LarkToc00001 \h </w:instrText>
        </w:r>
        <w:r>
          <w:fldChar w:fldCharType="separate"/>
        </w:r>
        <w:r>
          <w:t>3</w:t>
        </w:r>
        <w:r>
          <w:fldChar w:fldCharType="end"/>
        </w:r>
      </w:hyperlink>
    </w:p>
    <w:p>
      <w:pPr>
        <w:pStyle w:val="TOC2"/>
        <w:tabs>
          <w:tab w:val="right" w:leader="dot" w:pos="9072"/>
        </w:tabs>
      </w:pPr>
      <w:hyperlink w:anchor="_LarkToc00002" w:history="1">
        <w:r>
          <w:t>（一）总体研究范式</w:t>
        </w:r>
        <w:r>
          <w:tab/>
        </w:r>
        <w:r>
          <w:fldChar w:fldCharType="begin"/>
        </w:r>
        <w:r>
          <w:instrText xml:space="preserve"> PAGEREF _LarkToc00002 \h </w:instrText>
        </w:r>
        <w:r>
          <w:fldChar w:fldCharType="separate"/>
        </w:r>
        <w:r>
          <w:t>3</w:t>
        </w:r>
        <w:r>
          <w:fldChar w:fldCharType="end"/>
        </w:r>
      </w:hyperlink>
    </w:p>
    <w:p>
      <w:pPr>
        <w:pStyle w:val="TOC2"/>
        <w:tabs>
          <w:tab w:val="right" w:leader="dot" w:pos="9072"/>
        </w:tabs>
      </w:pPr>
      <w:hyperlink w:anchor="_LarkToc00003" w:history="1">
        <w:r>
          <w:t>（二）智能体的认知决策机制</w:t>
        </w:r>
        <w:r>
          <w:tab/>
        </w:r>
        <w:r>
          <w:fldChar w:fldCharType="begin"/>
        </w:r>
        <w:r>
          <w:instrText xml:space="preserve"> PAGEREF _LarkToc00003 \h </w:instrText>
        </w:r>
        <w:r>
          <w:fldChar w:fldCharType="separate"/>
        </w:r>
        <w:r>
          <w:t>3</w:t>
        </w:r>
        <w:r>
          <w:fldChar w:fldCharType="end"/>
        </w:r>
      </w:hyperlink>
    </w:p>
    <w:p>
      <w:pPr>
        <w:pStyle w:val="TOC2"/>
        <w:tabs>
          <w:tab w:val="right" w:leader="dot" w:pos="9072"/>
        </w:tabs>
      </w:pPr>
      <w:hyperlink w:anchor="_LarkToc00004" w:history="1">
        <w:r>
          <w:t>（三）水灾演化、救援与致死子模型</w:t>
        </w:r>
        <w:r>
          <w:tab/>
        </w:r>
        <w:r>
          <w:fldChar w:fldCharType="begin"/>
        </w:r>
        <w:r>
          <w:instrText xml:space="preserve"> PAGEREF _LarkToc00004 \h </w:instrText>
        </w:r>
        <w:r>
          <w:fldChar w:fldCharType="separate"/>
        </w:r>
        <w:r>
          <w:t>4</w:t>
        </w:r>
        <w:r>
          <w:fldChar w:fldCharType="end"/>
        </w:r>
      </w:hyperlink>
    </w:p>
    <w:p>
      <w:pPr>
        <w:pStyle w:val="TOC2"/>
        <w:tabs>
          <w:tab w:val="right" w:leader="dot" w:pos="9072"/>
        </w:tabs>
      </w:pPr>
      <w:hyperlink w:anchor="_LarkToc00005" w:history="1">
        <w:r>
          <w:t>（四）为何采用计算实验替代真人实验</w:t>
        </w:r>
        <w:r>
          <w:tab/>
        </w:r>
        <w:r>
          <w:fldChar w:fldCharType="begin"/>
        </w:r>
        <w:r>
          <w:instrText xml:space="preserve"> PAGEREF _LarkToc00005 \h </w:instrText>
        </w:r>
        <w:r>
          <w:fldChar w:fldCharType="separate"/>
        </w:r>
        <w:r>
          <w:t>4</w:t>
        </w:r>
        <w:r>
          <w:fldChar w:fldCharType="end"/>
        </w:r>
      </w:hyperlink>
    </w:p>
    <w:p>
      <w:pPr>
        <w:pStyle w:val="TOC1"/>
        <w:tabs>
          <w:tab w:val="right" w:leader="dot" w:pos="9072"/>
        </w:tabs>
      </w:pPr>
      <w:hyperlink w:anchor="_LarkToc00006" w:history="1">
        <w:r>
          <w:t>二、具体操作步骤</w:t>
        </w:r>
        <w:r>
          <w:tab/>
        </w:r>
        <w:r>
          <w:fldChar w:fldCharType="begin"/>
        </w:r>
        <w:r>
          <w:instrText xml:space="preserve"> PAGEREF _LarkToc00006 \h </w:instrText>
        </w:r>
        <w:r>
          <w:fldChar w:fldCharType="separate"/>
        </w:r>
        <w:r>
          <w:t>5</w:t>
        </w:r>
        <w:r>
          <w:fldChar w:fldCharType="end"/>
        </w:r>
      </w:hyperlink>
    </w:p>
    <w:p>
      <w:pPr>
        <w:pStyle w:val="TOC2"/>
        <w:tabs>
          <w:tab w:val="right" w:leader="dot" w:pos="9072"/>
        </w:tabs>
      </w:pPr>
      <w:hyperlink w:anchor="_LarkToc00007" w:history="1">
        <w:r>
          <w:t>（一）端到端研究流程</w:t>
        </w:r>
        <w:r>
          <w:tab/>
        </w:r>
        <w:r>
          <w:fldChar w:fldCharType="begin"/>
        </w:r>
        <w:r>
          <w:instrText xml:space="preserve"> PAGEREF _LarkToc00007 \h </w:instrText>
        </w:r>
        <w:r>
          <w:fldChar w:fldCharType="separate"/>
        </w:r>
        <w:r>
          <w:t>5</w:t>
        </w:r>
        <w:r>
          <w:fldChar w:fldCharType="end"/>
        </w:r>
      </w:hyperlink>
    </w:p>
    <w:p>
      <w:pPr>
        <w:pStyle w:val="TOC2"/>
        <w:tabs>
          <w:tab w:val="right" w:leader="dot" w:pos="9072"/>
        </w:tabs>
      </w:pPr>
      <w:hyperlink w:anchor="_LarkToc00008" w:history="1">
        <w:r>
          <w:t>（二）第5章七步校准与实验</w:t>
        </w:r>
        <w:r>
          <w:tab/>
        </w:r>
        <w:r>
          <w:fldChar w:fldCharType="begin"/>
        </w:r>
        <w:r>
          <w:instrText xml:space="preserve"> PAGEREF _LarkToc00008 \h </w:instrText>
        </w:r>
        <w:r>
          <w:fldChar w:fldCharType="separate"/>
        </w:r>
        <w:r>
          <w:t>5</w:t>
        </w:r>
        <w:r>
          <w:fldChar w:fldCharType="end"/>
        </w:r>
      </w:hyperlink>
    </w:p>
    <w:p>
      <w:pPr>
        <w:pStyle w:val="TOC1"/>
        <w:tabs>
          <w:tab w:val="right" w:leader="dot" w:pos="9072"/>
        </w:tabs>
      </w:pPr>
      <w:hyperlink w:anchor="_LarkToc00009" w:history="1">
        <w:r>
          <w:t>三、如何复现与查看实验结果</w:t>
        </w:r>
        <w:r>
          <w:tab/>
        </w:r>
        <w:r>
          <w:fldChar w:fldCharType="begin"/>
        </w:r>
        <w:r>
          <w:instrText xml:space="preserve"> PAGEREF _LarkToc00009 \h </w:instrText>
        </w:r>
        <w:r>
          <w:fldChar w:fldCharType="separate"/>
        </w:r>
        <w:r>
          <w:t>5</w:t>
        </w:r>
        <w:r>
          <w:fldChar w:fldCharType="end"/>
        </w:r>
      </w:hyperlink>
    </w:p>
    <w:p>
      <w:pPr>
        <w:pStyle w:val="TOC2"/>
        <w:tabs>
          <w:tab w:val="right" w:leader="dot" w:pos="9072"/>
        </w:tabs>
      </w:pPr>
      <w:hyperlink w:anchor="_LarkToc00010" w:history="1">
        <w:r>
          <w:t>（一）运行环境准备</w:t>
        </w:r>
        <w:r>
          <w:tab/>
        </w:r>
        <w:r>
          <w:fldChar w:fldCharType="begin"/>
        </w:r>
        <w:r>
          <w:instrText xml:space="preserve"> PAGEREF _LarkToc00010 \h </w:instrText>
        </w:r>
        <w:r>
          <w:fldChar w:fldCharType="separate"/>
        </w:r>
        <w:r>
          <w:t>5</w:t>
        </w:r>
        <w:r>
          <w:fldChar w:fldCharType="end"/>
        </w:r>
      </w:hyperlink>
    </w:p>
    <w:p>
      <w:pPr>
        <w:pStyle w:val="TOC2"/>
        <w:tabs>
          <w:tab w:val="right" w:leader="dot" w:pos="9072"/>
        </w:tabs>
      </w:pPr>
      <w:hyperlink w:anchor="_LarkToc00011" w:history="1">
        <w:r>
          <w:t>（二）最小仿真与完整复现命令</w:t>
        </w:r>
        <w:r>
          <w:tab/>
        </w:r>
        <w:r>
          <w:fldChar w:fldCharType="begin"/>
        </w:r>
        <w:r>
          <w:instrText xml:space="preserve"> PAGEREF _LarkToc00011 \h </w:instrText>
        </w:r>
        <w:r>
          <w:fldChar w:fldCharType="separate"/>
        </w:r>
        <w:r>
          <w:t>6</w:t>
        </w:r>
        <w:r>
          <w:fldChar w:fldCharType="end"/>
        </w:r>
      </w:hyperlink>
    </w:p>
    <w:p>
      <w:pPr>
        <w:pStyle w:val="TOC2"/>
        <w:tabs>
          <w:tab w:val="right" w:leader="dot" w:pos="9072"/>
        </w:tabs>
      </w:pPr>
      <w:hyperlink w:anchor="_LarkToc00012" w:history="1">
        <w:r>
          <w:t>（三）真实大语言模型抽检</w:t>
        </w:r>
        <w:r>
          <w:tab/>
        </w:r>
        <w:r>
          <w:fldChar w:fldCharType="begin"/>
        </w:r>
        <w:r>
          <w:instrText xml:space="preserve"> PAGEREF _LarkToc00012 \h </w:instrText>
        </w:r>
        <w:r>
          <w:fldChar w:fldCharType="separate"/>
        </w:r>
        <w:r>
          <w:t>6</w:t>
        </w:r>
        <w:r>
          <w:fldChar w:fldCharType="end"/>
        </w:r>
      </w:hyperlink>
    </w:p>
    <w:p>
      <w:pPr>
        <w:pStyle w:val="TOC2"/>
        <w:tabs>
          <w:tab w:val="right" w:leader="dot" w:pos="9072"/>
        </w:tabs>
      </w:pPr>
      <w:hyperlink w:anchor="_LarkToc00013" w:history="1">
        <w:r>
          <w:t>（四）结果文件与查看方式</w:t>
        </w:r>
        <w:r>
          <w:tab/>
        </w:r>
        <w:r>
          <w:fldChar w:fldCharType="begin"/>
        </w:r>
        <w:r>
          <w:instrText xml:space="preserve"> PAGEREF _LarkToc00013 \h </w:instrText>
        </w:r>
        <w:r>
          <w:fldChar w:fldCharType="separate"/>
        </w:r>
        <w:r>
          <w:t>6</w:t>
        </w:r>
        <w:r>
          <w:fldChar w:fldCharType="end"/>
        </w:r>
      </w:hyperlink>
    </w:p>
    <w:p>
      <w:pPr>
        <w:pStyle w:val="TOC1"/>
        <w:tabs>
          <w:tab w:val="right" w:leader="dot" w:pos="9072"/>
        </w:tabs>
      </w:pPr>
      <w:hyperlink w:anchor="_LarkToc00014" w:history="1">
        <w:r>
          <w:t>四、科学性</w:t>
        </w:r>
        <w:r>
          <w:tab/>
        </w:r>
        <w:r>
          <w:fldChar w:fldCharType="begin"/>
        </w:r>
        <w:r>
          <w:instrText xml:space="preserve"> PAGEREF _LarkToc00014 \h </w:instrText>
        </w:r>
        <w:r>
          <w:fldChar w:fldCharType="separate"/>
        </w:r>
        <w:r>
          <w:t>6</w:t>
        </w:r>
        <w:r>
          <w:fldChar w:fldCharType="end"/>
        </w:r>
      </w:hyperlink>
    </w:p>
    <w:p>
      <w:pPr>
        <w:pStyle w:val="TOC2"/>
        <w:tabs>
          <w:tab w:val="right" w:leader="dot" w:pos="9072"/>
        </w:tabs>
      </w:pPr>
      <w:hyperlink w:anchor="_LarkToc00015" w:history="1">
        <w:r>
          <w:t>（一）四层效度证据</w:t>
        </w:r>
        <w:r>
          <w:tab/>
        </w:r>
        <w:r>
          <w:fldChar w:fldCharType="begin"/>
        </w:r>
        <w:r>
          <w:instrText xml:space="preserve"> PAGEREF _LarkToc00015 \h </w:instrText>
        </w:r>
        <w:r>
          <w:fldChar w:fldCharType="separate"/>
        </w:r>
        <w:r>
          <w:t>6</w:t>
        </w:r>
        <w:r>
          <w:fldChar w:fldCharType="end"/>
        </w:r>
      </w:hyperlink>
    </w:p>
    <w:p>
      <w:pPr>
        <w:pStyle w:val="TOC2"/>
        <w:tabs>
          <w:tab w:val="right" w:leader="dot" w:pos="9072"/>
        </w:tabs>
      </w:pPr>
      <w:hyperlink w:anchor="_LarkToc00016" w:history="1">
        <w:r>
          <w:t>（二）可重复性与防过拟合</w:t>
        </w:r>
        <w:r>
          <w:tab/>
        </w:r>
        <w:r>
          <w:fldChar w:fldCharType="begin"/>
        </w:r>
        <w:r>
          <w:instrText xml:space="preserve"> PAGEREF _LarkToc00016 \h </w:instrText>
        </w:r>
        <w:r>
          <w:fldChar w:fldCharType="separate"/>
        </w:r>
        <w:r>
          <w:t>7</w:t>
        </w:r>
        <w:r>
          <w:fldChar w:fldCharType="end"/>
        </w:r>
      </w:hyperlink>
    </w:p>
    <w:p>
      <w:pPr>
        <w:pStyle w:val="TOC2"/>
        <w:tabs>
          <w:tab w:val="right" w:leader="dot" w:pos="9072"/>
        </w:tabs>
      </w:pPr>
      <w:hyperlink w:anchor="_LarkToc00017" w:history="1">
        <w:r>
          <w:t>（三）实验设计与统计检验</w:t>
        </w:r>
        <w:r>
          <w:tab/>
        </w:r>
        <w:r>
          <w:fldChar w:fldCharType="begin"/>
        </w:r>
        <w:r>
          <w:instrText xml:space="preserve"> PAGEREF _LarkToc00017 \h </w:instrText>
        </w:r>
        <w:r>
          <w:fldChar w:fldCharType="separate"/>
        </w:r>
        <w:r>
          <w:t>7</w:t>
        </w:r>
        <w:r>
          <w:fldChar w:fldCharType="end"/>
        </w:r>
      </w:hyperlink>
    </w:p>
    <w:p>
      <w:pPr>
        <w:pStyle w:val="TOC2"/>
        <w:tabs>
          <w:tab w:val="right" w:leader="dot" w:pos="9072"/>
        </w:tabs>
      </w:pPr>
      <w:hyperlink w:anchor="_LarkToc00018" w:history="1">
        <w:r>
          <w:t>（四）诚实的局限报告</w:t>
        </w:r>
        <w:r>
          <w:tab/>
        </w:r>
        <w:r>
          <w:fldChar w:fldCharType="begin"/>
        </w:r>
        <w:r>
          <w:instrText xml:space="preserve"> PAGEREF _LarkToc00018 \h </w:instrText>
        </w:r>
        <w:r>
          <w:fldChar w:fldCharType="separate"/>
        </w:r>
        <w:r>
          <w:t>7</w:t>
        </w:r>
        <w:r>
          <w:fldChar w:fldCharType="end"/>
        </w:r>
      </w:hyperlink>
    </w:p>
    <w:p>
      <w:pPr>
        <w:pStyle w:val="TOC1"/>
        <w:tabs>
          <w:tab w:val="right" w:leader="dot" w:pos="9072"/>
        </w:tabs>
      </w:pPr>
      <w:hyperlink w:anchor="_LarkToc00019" w:history="1">
        <w:r>
          <w:t>五、创新性</w:t>
        </w:r>
        <w:r>
          <w:tab/>
        </w:r>
        <w:r>
          <w:fldChar w:fldCharType="begin"/>
        </w:r>
        <w:r>
          <w:instrText xml:space="preserve"> PAGEREF _LarkToc00019 \h </w:instrText>
        </w:r>
        <w:r>
          <w:fldChar w:fldCharType="separate"/>
        </w:r>
        <w:r>
          <w:t>8</w:t>
        </w:r>
        <w:r>
          <w:fldChar w:fldCharType="end"/>
        </w:r>
      </w:hyperlink>
    </w:p>
    <w:p>
      <w:pPr>
        <w:pStyle w:val="TOC1"/>
        <w:tabs>
          <w:tab w:val="right" w:leader="dot" w:pos="9072"/>
        </w:tabs>
      </w:pPr>
      <w:hyperlink w:anchor="_LarkToc00020" w:history="1">
        <w:r>
          <w:t>六、研究价值</w:t>
        </w:r>
        <w:r>
          <w:tab/>
        </w:r>
        <w:r>
          <w:fldChar w:fldCharType="begin"/>
        </w:r>
        <w:r>
          <w:instrText xml:space="preserve"> PAGEREF _LarkToc00020 \h </w:instrText>
        </w:r>
        <w:r>
          <w:fldChar w:fldCharType="separate"/>
        </w:r>
        <w:r>
          <w:t>8</w:t>
        </w:r>
        <w:r>
          <w:fldChar w:fldCharType="end"/>
        </w:r>
      </w:hyperlink>
    </w:p>
    <w:p>
      <w:pPr>
        <w:pStyle w:val="TOC1"/>
        <w:tabs>
          <w:tab w:val="right" w:leader="dot" w:pos="9072"/>
        </w:tabs>
      </w:pPr>
      <w:hyperlink w:anchor="_LarkToc00021" w:history="1">
        <w:r>
          <w:t>七、合理性：对“开放站厅零死亡”的说明</w:t>
        </w:r>
        <w:r>
          <w:tab/>
        </w:r>
        <w:r>
          <w:fldChar w:fldCharType="begin"/>
        </w:r>
        <w:r>
          <w:instrText xml:space="preserve"> PAGEREF _LarkToc00021 \h </w:instrText>
        </w:r>
        <w:r>
          <w:fldChar w:fldCharType="separate"/>
        </w:r>
        <w:r>
          <w:t>8</w:t>
        </w:r>
        <w:r>
          <w:fldChar w:fldCharType="end"/>
        </w:r>
      </w:hyperlink>
    </w:p>
    <w:p>
      <w:pPr>
        <w:pStyle w:val="TOC1"/>
        <w:tabs>
          <w:tab w:val="right" w:leader="dot" w:pos="9072"/>
        </w:tabs>
      </w:pPr>
      <w:hyperlink w:anchor="_LarkToc00022" w:history="1">
        <w:r>
          <w:t>八、结论</w:t>
        </w:r>
        <w:r>
          <w:tab/>
        </w:r>
        <w:r>
          <w:fldChar w:fldCharType="begin"/>
        </w:r>
        <w:r>
          <w:instrText xml:space="preserve"> PAGEREF _LarkToc00022 \h </w:instrText>
        </w:r>
        <w:r>
          <w:fldChar w:fldCharType="separate"/>
        </w:r>
        <w:r>
          <w:t>9</w:t>
        </w:r>
        <w:r>
          <w:fldChar w:fldCharType="end"/>
        </w:r>
      </w:hyperlink>
      <w:r>
        <w:fldChar w:fldCharType="end"/>
      </w:r>
    </w:p>
    <w:p>
      <w:r>
        <w:br w:type="page"/>
      </w:r>
    </w:p>
    <w:p>
      <w:pPr>
        <w:pStyle w:val="Heading1"/>
      </w:pPr>
      <w:bookmarkStart w:id="1" w:name="_LarkToc00001"/>
      <w:r>
        <w:t>一、实验原理</w:t>
      </w:r>
      <w:bookmarkEnd w:id="1"/>
    </w:p>
    <w:p>
      <w:pPr>
        <w:pStyle w:val="Heading2"/>
      </w:pPr>
      <w:bookmarkStart w:id="2" w:name="_LarkToc00002"/>
      <w:r>
        <w:t>（一）总体研究范式</w:t>
      </w:r>
      <w:bookmarkEnd w:id="2"/>
    </w:p>
    <w:p>
      <w:pPr>
        <w:ind w:firstLine="480"/>
        <w:jc w:val="both"/>
      </w:pPr>
      <w:r>
        <w:t>本研究采用“数据与知识双驱动的大语言模型（LLM）智能体计算实验”范式，以基于智能体的建模与仿真（ABMS）替代不可行的真人水灾疏散实验。其基本思路是：在计算机中构建一个参数化的虚拟地下车站，将每一名乘客建模为具有感知、评估、应对与行动能力的异质智能体，令水灾在空间中按时间演化，再通过成百上千次受控、可重复的虚拟演练，反演人群疏散的行为规律。</w:t>
      </w:r>
    </w:p>
    <w:p>
      <w:pPr>
        <w:ind w:firstLine="480"/>
        <w:jc w:val="both"/>
      </w:pPr>
      <w:r>
        <w:t>整体技术链条为：真实资料（历史案例、应急预案、事故调查报告、行业规范）经大语言模型抽取与规则校核，形成参数化水灾情景库；在此基础上，由空间环境、异质人群画像、知识库检索与认知智能体共同构成虚拟车站；通过拉丁超立方抽样设计情景点并多次重复，批量产出“情景标签—个体属性—行为—结局”一体化的带标签数据；最后以关联规则与机器学习方法挖掘情景与疏散行为之间的规律。</w:t>
      </w:r>
    </w:p>
    <w:p>
      <w:pPr>
        <w:pStyle w:val="Heading2"/>
      </w:pPr>
      <w:bookmarkStart w:id="3" w:name="_LarkToc00003"/>
      <w:r>
        <w:t>（二）智能体的认知决策机制</w:t>
      </w:r>
      <w:bookmarkEnd w:id="3"/>
    </w:p>
    <w:p>
      <w:pPr>
        <w:ind w:firstLine="480"/>
        <w:jc w:val="both"/>
      </w:pPr>
      <w:r>
        <w:t>每一名智能体在每个决策周期内沿“感知—评估—应对—行动”的认知环路运行：在感知阶段读取所在位置水深、可达出口、应急广播信息与周边人流；在评估阶段结合自身画像（年龄、性别、行动能力、熟悉度、水灾经验、风险偏好、是否结伴等维度）与检索到的知识库判断风险；在应对与行动阶段，在受约束的动作白名单中选择继续等待、向某出口移动、折返、跟随他人或求助等行为，所选动作经结构化校验，移动路径受水深与楼扶梯通行能力约束。</w:t>
      </w:r>
    </w:p>
    <w:p>
      <w:pPr>
        <w:ind w:firstLine="480"/>
        <w:jc w:val="both"/>
      </w:pPr>
      <w:r>
        <w:t>决策可由两种引擎驱动：真实大语言模型负责承载常识推理与异质决策，按调用计费；离线启发式将大语言模型的典型决策固化为规则，具有免费、快速、确定性高的特点。主体批量实验采用离线启发式以控制成本，再以小样本真实大语言模型抽检核对结论方向。</w:t>
      </w:r>
    </w:p>
    <w:p>
      <w:pPr>
        <w:spacing w:before="80"/>
        <w:jc w:val="center"/>
      </w:pPr>
      <w:r>
        <w:drawing>
          <wp:inline xmlns:a="http://schemas.openxmlformats.org/drawingml/2006/main" xmlns:pic="http://schemas.openxmlformats.org/drawingml/2006/picture">
            <wp:extent cx="4860000" cy="2471387"/>
            <wp:docPr id="1" name="Picture 1"/>
            <wp:cNvGraphicFramePr>
              <a:graphicFrameLocks noChangeAspect="1"/>
            </wp:cNvGraphicFramePr>
            <a:graphic>
              <a:graphicData uri="http://schemas.openxmlformats.org/drawingml/2006/picture">
                <pic:pic>
                  <pic:nvPicPr>
                    <pic:cNvPr id="0" name="fig_认知架构.png"/>
                    <pic:cNvPicPr/>
                  </pic:nvPicPr>
                  <pic:blipFill>
                    <a:blip r:embed="rId9"/>
                    <a:stretch>
                      <a:fillRect/>
                    </a:stretch>
                  </pic:blipFill>
                  <pic:spPr>
                    <a:xfrm>
                      <a:off x="0" y="0"/>
                      <a:ext cx="4860000" cy="2471387"/>
                    </a:xfrm>
                    <a:prstGeom prst="rect"/>
                  </pic:spPr>
                </pic:pic>
              </a:graphicData>
            </a:graphic>
          </wp:inline>
        </w:drawing>
      </w:r>
    </w:p>
    <w:p>
      <w:pPr>
        <w:spacing w:before="40" w:after="120"/>
        <w:jc w:val="center"/>
      </w:pPr>
      <w:r>
        <w:rPr>
          <w:b/>
          <w:sz w:val="21"/>
          <w:rFonts w:eastAsia="宋体"/>
        </w:rPr>
        <w:t>图1 认知驱动智能体的“感知—评估—应对—行动”架构</w:t>
      </w:r>
    </w:p>
    <w:p>
      <w:pPr>
        <w:pStyle w:val="Heading2"/>
      </w:pPr>
      <w:bookmarkStart w:id="4" w:name="_LarkToc00004"/>
      <w:r>
        <w:t>（三）水灾演化、救援与致死子模型</w:t>
      </w:r>
      <w:bookmarkEnd w:id="4"/>
    </w:p>
    <w:p>
      <w:pPr>
        <w:ind w:firstLine="480"/>
        <w:jc w:val="both"/>
      </w:pPr>
      <w:r>
        <w:t>水深采用统一的四阶段参数曲线 depth(t)，即渗流、上涨、平台与退水四个阶段，不同情景由曲线参数控制。空间以节点—边网络表示，平地、楼梯、闸机与风井等不同类型具有不同的水深阈值与通行速度，例如楼梯在水深约0.30米、平地在水深约0.70米时难以通行。</w:t>
      </w:r>
    </w:p>
    <w:p>
      <w:pPr>
        <w:ind w:firstLine="480"/>
        <w:jc w:val="both"/>
      </w:pPr>
      <w:r>
        <w:t>救援过程采用有限运力、逐分钟提取机制：救援力量到达后逐分钟更新水深与可达域，可达的未受困人员由救援引导步行出站，舟艇按约3人/分钟的运力、以深水优先的原则提取受困者，并设置约120分钟的作业时间窗；仅对持续没顶或超过耐受时间的受困者计为死亡。</w:t>
      </w:r>
    </w:p>
    <w:p>
      <w:pPr>
        <w:pStyle w:val="Heading2"/>
      </w:pPr>
      <w:bookmarkStart w:id="5" w:name="_LarkToc00005"/>
      <w:r>
        <w:t>（四）为何采用计算实验替代真人实验</w:t>
      </w:r>
      <w:bookmarkEnd w:id="5"/>
    </w:p>
    <w:p>
      <w:pPr>
        <w:ind w:firstLine="480"/>
        <w:jc w:val="both"/>
      </w:pPr>
      <w:r>
        <w:t>真实水灾疏散演练具有危险性高、成本高、样本量小且不可重复的特点，并存在伦理约束；传统微观仿真模型规则固定，难以刻画个体对信息的使用、认知差异与行为异质性。大语言模型智能体既能够进行类人常识推理、表达异质决策，又能像仿真一样可控、可重复并支持反事实分析；在此基础上再以严格的效度检验保证其可信性，从而形成一条低成本、可复现的研究路径。</w:t>
      </w:r>
    </w:p>
    <w:p>
      <w:pPr>
        <w:pStyle w:val="Heading1"/>
      </w:pPr>
      <w:bookmarkStart w:id="6" w:name="_LarkToc00006"/>
      <w:r>
        <w:t>二、具体操作步骤</w:t>
      </w:r>
      <w:bookmarkEnd w:id="6"/>
    </w:p>
    <w:p>
      <w:pPr>
        <w:pStyle w:val="Heading2"/>
      </w:pPr>
      <w:bookmarkStart w:id="7" w:name="_LarkToc00007"/>
      <w:r>
        <w:t>（一）端到端研究流程</w:t>
      </w:r>
      <w:bookmarkEnd w:id="7"/>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2268"/>
        <w:gridCol w:w="2268"/>
        <w:gridCol w:w="2268"/>
        <w:gridCol w:w="2268"/>
      </w:tblGrid>
      <w:tr>
        <w:tc>
          <w:tcPr>
            <w:tcW w:type="dxa" w:w="1361"/>
            <w:shd w:val="clear" w:fill="D9D9D9"/>
            <w:vAlign w:val="center"/>
          </w:tcPr>
          <w:p>
            <w:pPr>
              <w:spacing w:line="240" w:lineRule="auto" w:after="40" w:before="40"/>
              <w:jc w:val="center"/>
            </w:pPr>
            <w:r>
              <w:rPr>
                <w:rFonts w:ascii="Times New Roman" w:hAnsi="Times New Roman" w:eastAsia="宋体"/>
                <w:b/>
                <w:sz w:val="21"/>
              </w:rPr>
              <w:t>阶段</w:t>
            </w:r>
          </w:p>
        </w:tc>
        <w:tc>
          <w:tcPr>
            <w:tcW w:type="dxa" w:w="1247"/>
            <w:shd w:val="clear" w:fill="D9D9D9"/>
            <w:vAlign w:val="center"/>
          </w:tcPr>
          <w:p>
            <w:pPr>
              <w:spacing w:line="240" w:lineRule="auto" w:after="40" w:before="40"/>
              <w:jc w:val="center"/>
            </w:pPr>
            <w:r>
              <w:rPr>
                <w:rFonts w:ascii="Times New Roman" w:hAnsi="Times New Roman" w:eastAsia="宋体"/>
                <w:b/>
                <w:sz w:val="21"/>
              </w:rPr>
              <w:t>对应章节</w:t>
            </w:r>
          </w:p>
        </w:tc>
        <w:tc>
          <w:tcPr>
            <w:tcW w:type="dxa" w:w="3742"/>
            <w:shd w:val="clear" w:fill="D9D9D9"/>
            <w:vAlign w:val="center"/>
          </w:tcPr>
          <w:p>
            <w:pPr>
              <w:spacing w:line="240" w:lineRule="auto" w:after="40" w:before="40"/>
              <w:jc w:val="center"/>
            </w:pPr>
            <w:r>
              <w:rPr>
                <w:rFonts w:ascii="Times New Roman" w:hAnsi="Times New Roman" w:eastAsia="宋体"/>
                <w:b/>
                <w:sz w:val="21"/>
              </w:rPr>
              <w:t>主要工作</w:t>
            </w:r>
          </w:p>
        </w:tc>
        <w:tc>
          <w:tcPr>
            <w:tcW w:type="dxa" w:w="2268"/>
            <w:shd w:val="clear" w:fill="D9D9D9"/>
            <w:vAlign w:val="center"/>
          </w:tcPr>
          <w:p>
            <w:pPr>
              <w:spacing w:line="240" w:lineRule="auto" w:after="40" w:before="40"/>
              <w:jc w:val="center"/>
            </w:pPr>
            <w:r>
              <w:rPr>
                <w:rFonts w:ascii="Times New Roman" w:hAnsi="Times New Roman" w:eastAsia="宋体"/>
                <w:b/>
                <w:sz w:val="21"/>
              </w:rPr>
              <w:t>关键产物</w:t>
            </w:r>
          </w:p>
        </w:tc>
      </w:tr>
      <w:tr>
        <w:tc>
          <w:tcPr>
            <w:tcW w:type="dxa" w:w="1361"/>
            <w:vAlign w:val="center"/>
          </w:tcPr>
          <w:p>
            <w:pPr>
              <w:spacing w:line="240" w:lineRule="auto" w:after="40" w:before="40"/>
              <w:jc w:val="center"/>
            </w:pPr>
            <w:r>
              <w:rPr>
                <w:rFonts w:ascii="Times New Roman" w:hAnsi="Times New Roman" w:eastAsia="宋体"/>
                <w:b w:val="0"/>
                <w:sz w:val="21"/>
              </w:rPr>
              <w:t>数据治理</w:t>
            </w:r>
          </w:p>
        </w:tc>
        <w:tc>
          <w:tcPr>
            <w:tcW w:type="dxa" w:w="1247"/>
            <w:vAlign w:val="center"/>
          </w:tcPr>
          <w:p>
            <w:pPr>
              <w:spacing w:line="240" w:lineRule="auto" w:after="40" w:before="40"/>
              <w:jc w:val="center"/>
            </w:pPr>
            <w:r>
              <w:rPr>
                <w:rFonts w:ascii="Times New Roman" w:hAnsi="Times New Roman" w:eastAsia="宋体"/>
                <w:b w:val="0"/>
                <w:sz w:val="21"/>
              </w:rPr>
              <w:t>准备阶段</w:t>
            </w:r>
          </w:p>
        </w:tc>
        <w:tc>
          <w:tcPr>
            <w:tcW w:type="dxa" w:w="3742"/>
            <w:vAlign w:val="center"/>
          </w:tcPr>
          <w:p>
            <w:pPr>
              <w:spacing w:line="240" w:lineRule="auto" w:after="40" w:before="40"/>
              <w:jc w:val="left"/>
            </w:pPr>
            <w:r>
              <w:rPr>
                <w:rFonts w:ascii="Times New Roman" w:hAnsi="Times New Roman" w:eastAsia="宋体"/>
                <w:b w:val="0"/>
                <w:sz w:val="21"/>
              </w:rPr>
              <w:t>资料探查、数据字典、通用调用模块、数据清洗与质量评估</w:t>
            </w:r>
          </w:p>
        </w:tc>
        <w:tc>
          <w:tcPr>
            <w:tcW w:type="dxa" w:w="2268"/>
            <w:vAlign w:val="center"/>
          </w:tcPr>
          <w:p>
            <w:pPr>
              <w:spacing w:line="240" w:lineRule="auto" w:after="40" w:before="40"/>
              <w:jc w:val="left"/>
            </w:pPr>
            <w:r>
              <w:rPr>
                <w:rFonts w:ascii="Times New Roman" w:hAnsi="Times New Roman" w:eastAsia="宋体"/>
                <w:b w:val="0"/>
                <w:sz w:val="21"/>
              </w:rPr>
              <w:t>数据字典、清洗报告</w:t>
            </w:r>
          </w:p>
        </w:tc>
      </w:tr>
      <w:tr>
        <w:tc>
          <w:tcPr>
            <w:tcW w:type="dxa" w:w="1361"/>
            <w:vAlign w:val="center"/>
          </w:tcPr>
          <w:p>
            <w:pPr>
              <w:spacing w:line="240" w:lineRule="auto" w:after="40" w:before="40"/>
              <w:jc w:val="center"/>
            </w:pPr>
            <w:r>
              <w:rPr>
                <w:rFonts w:ascii="Times New Roman" w:hAnsi="Times New Roman" w:eastAsia="宋体"/>
                <w:b w:val="0"/>
                <w:sz w:val="21"/>
              </w:rPr>
              <w:t>情景构建</w:t>
            </w:r>
          </w:p>
        </w:tc>
        <w:tc>
          <w:tcPr>
            <w:tcW w:type="dxa" w:w="1247"/>
            <w:vAlign w:val="center"/>
          </w:tcPr>
          <w:p>
            <w:pPr>
              <w:spacing w:line="240" w:lineRule="auto" w:after="40" w:before="40"/>
              <w:jc w:val="center"/>
            </w:pPr>
            <w:r>
              <w:rPr>
                <w:rFonts w:ascii="Times New Roman" w:hAnsi="Times New Roman" w:eastAsia="宋体"/>
                <w:b w:val="0"/>
                <w:sz w:val="21"/>
              </w:rPr>
              <w:t>第3章</w:t>
            </w:r>
          </w:p>
        </w:tc>
        <w:tc>
          <w:tcPr>
            <w:tcW w:type="dxa" w:w="3742"/>
            <w:vAlign w:val="center"/>
          </w:tcPr>
          <w:p>
            <w:pPr>
              <w:spacing w:line="240" w:lineRule="auto" w:after="40" w:before="40"/>
              <w:jc w:val="left"/>
            </w:pPr>
            <w:r>
              <w:rPr>
                <w:rFonts w:ascii="Times New Roman" w:hAnsi="Times New Roman" w:eastAsia="宋体"/>
                <w:b w:val="0"/>
                <w:sz w:val="21"/>
              </w:rPr>
              <w:t>水灾本体设计、大模型抽取、受控词表与水深参数化、情景推演</w:t>
            </w:r>
          </w:p>
        </w:tc>
        <w:tc>
          <w:tcPr>
            <w:tcW w:type="dxa" w:w="2268"/>
            <w:vAlign w:val="center"/>
          </w:tcPr>
          <w:p>
            <w:pPr>
              <w:spacing w:line="240" w:lineRule="auto" w:after="40" w:before="40"/>
              <w:jc w:val="center"/>
            </w:pPr>
            <w:r>
              <w:rPr>
                <w:rFonts w:ascii="Times New Roman" w:hAnsi="Times New Roman" w:eastAsia="宋体"/>
                <w:b w:val="0"/>
                <w:sz w:val="21"/>
              </w:rPr>
              <w:t>情景本体、情景库</w:t>
            </w:r>
          </w:p>
        </w:tc>
      </w:tr>
      <w:tr>
        <w:tc>
          <w:tcPr>
            <w:tcW w:type="dxa" w:w="1361"/>
            <w:vAlign w:val="center"/>
          </w:tcPr>
          <w:p>
            <w:pPr>
              <w:spacing w:line="240" w:lineRule="auto" w:after="40" w:before="40"/>
              <w:jc w:val="center"/>
            </w:pPr>
            <w:r>
              <w:rPr>
                <w:rFonts w:ascii="Times New Roman" w:hAnsi="Times New Roman" w:eastAsia="宋体"/>
                <w:b w:val="0"/>
                <w:sz w:val="21"/>
              </w:rPr>
              <w:t>智能体建模</w:t>
            </w:r>
          </w:p>
        </w:tc>
        <w:tc>
          <w:tcPr>
            <w:tcW w:type="dxa" w:w="1247"/>
            <w:vAlign w:val="center"/>
          </w:tcPr>
          <w:p>
            <w:pPr>
              <w:spacing w:line="240" w:lineRule="auto" w:after="40" w:before="40"/>
              <w:jc w:val="center"/>
            </w:pPr>
            <w:r>
              <w:rPr>
                <w:rFonts w:ascii="Times New Roman" w:hAnsi="Times New Roman" w:eastAsia="宋体"/>
                <w:b w:val="0"/>
                <w:sz w:val="21"/>
              </w:rPr>
              <w:t>第4章</w:t>
            </w:r>
          </w:p>
        </w:tc>
        <w:tc>
          <w:tcPr>
            <w:tcW w:type="dxa" w:w="3742"/>
            <w:vAlign w:val="center"/>
          </w:tcPr>
          <w:p>
            <w:pPr>
              <w:spacing w:line="240" w:lineRule="auto" w:after="40" w:before="40"/>
              <w:jc w:val="left"/>
            </w:pPr>
            <w:r>
              <w:rPr>
                <w:rFonts w:ascii="Times New Roman" w:hAnsi="Times New Roman" w:eastAsia="宋体"/>
                <w:b w:val="0"/>
                <w:sz w:val="21"/>
              </w:rPr>
              <w:t>空间环境、人群画像、知识库、认知智能体与仿真引擎</w:t>
            </w:r>
          </w:p>
        </w:tc>
        <w:tc>
          <w:tcPr>
            <w:tcW w:type="dxa" w:w="2268"/>
            <w:vAlign w:val="center"/>
          </w:tcPr>
          <w:p>
            <w:pPr>
              <w:spacing w:line="240" w:lineRule="auto" w:after="40" w:before="40"/>
              <w:jc w:val="left"/>
            </w:pPr>
            <w:r>
              <w:rPr>
                <w:rFonts w:ascii="Times New Roman" w:hAnsi="Times New Roman" w:eastAsia="宋体"/>
                <w:b w:val="0"/>
                <w:sz w:val="21"/>
              </w:rPr>
              <w:t>模型M3、单元测试</w:t>
            </w:r>
          </w:p>
        </w:tc>
      </w:tr>
      <w:tr>
        <w:tc>
          <w:tcPr>
            <w:tcW w:type="dxa" w:w="1361"/>
            <w:vAlign w:val="center"/>
          </w:tcPr>
          <w:p>
            <w:pPr>
              <w:spacing w:line="240" w:lineRule="auto" w:after="40" w:before="40"/>
              <w:jc w:val="center"/>
            </w:pPr>
            <w:r>
              <w:rPr>
                <w:rFonts w:ascii="Times New Roman" w:hAnsi="Times New Roman" w:eastAsia="宋体"/>
                <w:b w:val="0"/>
                <w:sz w:val="21"/>
              </w:rPr>
              <w:t>校准与实验</w:t>
            </w:r>
          </w:p>
        </w:tc>
        <w:tc>
          <w:tcPr>
            <w:tcW w:type="dxa" w:w="1247"/>
            <w:vAlign w:val="center"/>
          </w:tcPr>
          <w:p>
            <w:pPr>
              <w:spacing w:line="240" w:lineRule="auto" w:after="40" w:before="40"/>
              <w:jc w:val="center"/>
            </w:pPr>
            <w:r>
              <w:rPr>
                <w:rFonts w:ascii="Times New Roman" w:hAnsi="Times New Roman" w:eastAsia="宋体"/>
                <w:b w:val="0"/>
                <w:sz w:val="21"/>
              </w:rPr>
              <w:t>第5章</w:t>
            </w:r>
          </w:p>
        </w:tc>
        <w:tc>
          <w:tcPr>
            <w:tcW w:type="dxa" w:w="3742"/>
            <w:vAlign w:val="center"/>
          </w:tcPr>
          <w:p>
            <w:pPr>
              <w:spacing w:line="240" w:lineRule="auto" w:after="40" w:before="40"/>
              <w:jc w:val="left"/>
            </w:pPr>
            <w:r>
              <w:rPr>
                <w:rFonts w:ascii="Times New Roman" w:hAnsi="Times New Roman" w:eastAsia="宋体"/>
                <w:b w:val="0"/>
                <w:sz w:val="21"/>
              </w:rPr>
              <w:t>案例回放、效应复现、留出验证、稳健性、批量计算实验</w:t>
            </w:r>
          </w:p>
        </w:tc>
        <w:tc>
          <w:tcPr>
            <w:tcW w:type="dxa" w:w="2268"/>
            <w:vAlign w:val="center"/>
          </w:tcPr>
          <w:p>
            <w:pPr>
              <w:spacing w:line="240" w:lineRule="auto" w:after="40" w:before="40"/>
              <w:jc w:val="left"/>
            </w:pPr>
            <w:r>
              <w:rPr>
                <w:rFonts w:ascii="Times New Roman" w:hAnsi="Times New Roman" w:eastAsia="宋体"/>
                <w:b w:val="0"/>
                <w:sz w:val="21"/>
              </w:rPr>
              <w:t>效度报告、批量数据</w:t>
            </w:r>
          </w:p>
        </w:tc>
      </w:tr>
      <w:tr>
        <w:tc>
          <w:tcPr>
            <w:tcW w:type="dxa" w:w="1361"/>
            <w:vAlign w:val="center"/>
          </w:tcPr>
          <w:p>
            <w:pPr>
              <w:spacing w:line="240" w:lineRule="auto" w:after="40" w:before="40"/>
              <w:jc w:val="center"/>
            </w:pPr>
            <w:r>
              <w:rPr>
                <w:rFonts w:ascii="Times New Roman" w:hAnsi="Times New Roman" w:eastAsia="宋体"/>
                <w:b w:val="0"/>
                <w:sz w:val="21"/>
              </w:rPr>
              <w:t>规律挖掘</w:t>
            </w:r>
          </w:p>
        </w:tc>
        <w:tc>
          <w:tcPr>
            <w:tcW w:type="dxa" w:w="1247"/>
            <w:vAlign w:val="center"/>
          </w:tcPr>
          <w:p>
            <w:pPr>
              <w:spacing w:line="240" w:lineRule="auto" w:after="40" w:before="40"/>
              <w:jc w:val="center"/>
            </w:pPr>
            <w:r>
              <w:rPr>
                <w:rFonts w:ascii="Times New Roman" w:hAnsi="Times New Roman" w:eastAsia="宋体"/>
                <w:b w:val="0"/>
                <w:sz w:val="21"/>
              </w:rPr>
              <w:t>第6章</w:t>
            </w:r>
          </w:p>
        </w:tc>
        <w:tc>
          <w:tcPr>
            <w:tcW w:type="dxa" w:w="3742"/>
            <w:vAlign w:val="center"/>
          </w:tcPr>
          <w:p>
            <w:pPr>
              <w:spacing w:line="240" w:lineRule="auto" w:after="40" w:before="40"/>
              <w:jc w:val="left"/>
            </w:pPr>
            <w:r>
              <w:rPr>
                <w:rFonts w:ascii="Times New Roman" w:hAnsi="Times New Roman" w:eastAsia="宋体"/>
                <w:b w:val="0"/>
                <w:sz w:val="21"/>
              </w:rPr>
              <w:t>特征工程、关联规则、机器学习行为规律模型与可解释性</w:t>
            </w:r>
          </w:p>
        </w:tc>
        <w:tc>
          <w:tcPr>
            <w:tcW w:type="dxa" w:w="2268"/>
            <w:vAlign w:val="center"/>
          </w:tcPr>
          <w:p>
            <w:pPr>
              <w:spacing w:line="240" w:lineRule="auto" w:after="40" w:before="40"/>
              <w:jc w:val="center"/>
            </w:pPr>
            <w:r>
              <w:rPr>
                <w:rFonts w:ascii="Times New Roman" w:hAnsi="Times New Roman" w:eastAsia="宋体"/>
                <w:b w:val="0"/>
                <w:sz w:val="21"/>
              </w:rPr>
              <w:t>疏散行为规律</w:t>
            </w:r>
          </w:p>
        </w:tc>
      </w:tr>
      <w:tr>
        <w:tc>
          <w:tcPr>
            <w:tcW w:type="dxa" w:w="1361"/>
            <w:vAlign w:val="center"/>
          </w:tcPr>
          <w:p>
            <w:pPr>
              <w:spacing w:line="240" w:lineRule="auto" w:after="40" w:before="40"/>
              <w:jc w:val="center"/>
            </w:pPr>
            <w:r>
              <w:rPr>
                <w:rFonts w:ascii="Times New Roman" w:hAnsi="Times New Roman" w:eastAsia="宋体"/>
                <w:b w:val="0"/>
                <w:sz w:val="21"/>
              </w:rPr>
              <w:t>总结</w:t>
            </w:r>
          </w:p>
        </w:tc>
        <w:tc>
          <w:tcPr>
            <w:tcW w:type="dxa" w:w="1247"/>
            <w:vAlign w:val="center"/>
          </w:tcPr>
          <w:p>
            <w:pPr>
              <w:spacing w:line="240" w:lineRule="auto" w:after="40" w:before="40"/>
              <w:jc w:val="center"/>
            </w:pPr>
            <w:r>
              <w:rPr>
                <w:rFonts w:ascii="Times New Roman" w:hAnsi="Times New Roman" w:eastAsia="宋体"/>
                <w:b w:val="0"/>
                <w:sz w:val="21"/>
              </w:rPr>
              <w:t>第7章</w:t>
            </w:r>
          </w:p>
        </w:tc>
        <w:tc>
          <w:tcPr>
            <w:tcW w:type="dxa" w:w="3742"/>
            <w:vAlign w:val="center"/>
          </w:tcPr>
          <w:p>
            <w:pPr>
              <w:spacing w:line="240" w:lineRule="auto" w:after="40" w:before="40"/>
              <w:jc w:val="left"/>
            </w:pPr>
            <w:r>
              <w:rPr>
                <w:rFonts w:ascii="Times New Roman" w:hAnsi="Times New Roman" w:eastAsia="宋体"/>
                <w:b w:val="0"/>
                <w:sz w:val="21"/>
              </w:rPr>
              <w:t>规律总结、对策建议、局限与展望</w:t>
            </w:r>
          </w:p>
        </w:tc>
        <w:tc>
          <w:tcPr>
            <w:tcW w:type="dxa" w:w="2268"/>
            <w:vAlign w:val="center"/>
          </w:tcPr>
          <w:p>
            <w:pPr>
              <w:spacing w:line="240" w:lineRule="auto" w:after="40" w:before="40"/>
              <w:jc w:val="center"/>
            </w:pPr>
            <w:r>
              <w:rPr>
                <w:rFonts w:ascii="Times New Roman" w:hAnsi="Times New Roman" w:eastAsia="宋体"/>
                <w:b w:val="0"/>
                <w:sz w:val="21"/>
              </w:rPr>
              <w:t>研究结论</w:t>
            </w:r>
          </w:p>
        </w:tc>
      </w:tr>
    </w:tbl>
    <w:p>
      <w:pPr>
        <w:spacing w:before="80" w:after="40"/>
        <w:jc w:val="center"/>
      </w:pPr>
      <w:r>
        <w:rPr>
          <w:b/>
          <w:sz w:val="21"/>
          <w:rFonts w:eastAsia="宋体"/>
        </w:rPr>
        <w:t>表1 端到端研究流程与产物</w:t>
      </w:r>
    </w:p>
    <w:p>
      <w:pPr>
        <w:pStyle w:val="Heading2"/>
      </w:pPr>
      <w:bookmarkStart w:id="8" w:name="_LarkToc00008"/>
      <w:r>
        <w:t>（二）第5章七步校准与实验</w:t>
      </w:r>
      <w:bookmarkEnd w:id="8"/>
    </w:p>
    <w:p>
      <w:pPr>
        <w:ind w:firstLine="480"/>
        <w:jc w:val="both"/>
      </w:pPr>
      <w:r>
        <w:t>第5章按七个步骤推进：第一步对郑州5号线、金安桥等典型案例进行回放校准；第二步复现播报、从众、熟悉出口与瓶颈四类经典行为效应；第三步对未参与校准的金沙湖、神舟路、福州与上海案例进行留出盲测；第四步开展多配置稳健性检验与八因子敏感性分析；第五步采用拉丁超立方抽样将八因子设计压缩为96个情景点；第六步按每点20次重复批量运行，共完成1920个仿真；第七步汇总效度报告与配置均值、因子主效应。</w:t>
      </w:r>
    </w:p>
    <w:p>
      <w:pPr>
        <w:pStyle w:val="Heading1"/>
      </w:pPr>
      <w:bookmarkStart w:id="9" w:name="_LarkToc00009"/>
      <w:r>
        <w:t>三、如何复现与查看实验结果</w:t>
      </w:r>
      <w:bookmarkEnd w:id="9"/>
    </w:p>
    <w:p>
      <w:pPr>
        <w:pStyle w:val="Heading2"/>
      </w:pPr>
      <w:bookmarkStart w:id="10" w:name="_LarkToc00010"/>
      <w:r>
        <w:t>（一）运行环境准备</w:t>
      </w:r>
      <w:bookmarkEnd w:id="10"/>
    </w:p>
    <w:p>
      <w:pPr>
        <w:ind w:firstLine="480"/>
        <w:jc w:val="both"/>
      </w:pPr>
      <w:r>
        <w:t>在 Anaconda Prompt 中依次执行“conda activate flood”“E:”“cd E:\underground-flood-evac”，看到提示符前出现“(flood)”即进入正确环境。若不激活环境，则需将命令中的 python 替换为 flood 环境的完整解释器路径，注意不要直接使用系统默认的 Python。</w:t>
      </w:r>
    </w:p>
    <w:p>
      <w:pPr>
        <w:pStyle w:val="Heading2"/>
      </w:pPr>
      <w:bookmarkStart w:id="11" w:name="_LarkToc00011"/>
      <w:r>
        <w:t>（二）最小仿真与完整复现命令</w:t>
      </w:r>
      <w:bookmarkEnd w:id="11"/>
    </w:p>
    <w:p>
      <w:pPr>
        <w:ind w:firstLine="480"/>
        <w:jc w:val="both"/>
      </w:pPr>
      <w:r>
        <w:t>运行“python code\26_mesa_engine.py --sid SCN-001 --n 40 --steps 360”可执行一次约60分钟的离线疏散仿真，每步对应10秒。完整复现第5章时，按编号顺序依次运行 code 目录下的 31 至 38 脚本即可，其中36为批量运行、37与38为效度与汇总。</w:t>
      </w:r>
    </w:p>
    <w:p>
      <w:pPr>
        <w:pStyle w:val="Heading2"/>
      </w:pPr>
      <w:bookmarkStart w:id="12" w:name="_LarkToc00012"/>
      <w:r>
        <w:t>（三）真实大语言模型抽检</w:t>
      </w:r>
      <w:bookmarkEnd w:id="12"/>
    </w:p>
    <w:p>
      <w:pPr>
        <w:ind w:firstLine="480"/>
        <w:jc w:val="both"/>
      </w:pPr>
      <w:r>
        <w:t>运行“python code\36_batch_run.py --llm_runs 36”可对约36个仿真串行调用真实大语言模型，用于核对离线启发式结论的方向，费用为数元人民币；重复请求自动缓存，命中缓存不再计费。</w:t>
      </w:r>
    </w:p>
    <w:p>
      <w:pPr>
        <w:pStyle w:val="Heading2"/>
      </w:pPr>
      <w:bookmarkStart w:id="13" w:name="_LarkToc00013"/>
      <w:r>
        <w:t>（四）结果文件与查看方式</w:t>
      </w:r>
      <w:bookmarkEnd w:id="13"/>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024"/>
        <w:gridCol w:w="3024"/>
        <w:gridCol w:w="3024"/>
      </w:tblGrid>
      <w:tr>
        <w:tc>
          <w:tcPr>
            <w:tcW w:type="dxa" w:w="1814"/>
            <w:shd w:val="clear" w:fill="D9D9D9"/>
            <w:vAlign w:val="center"/>
          </w:tcPr>
          <w:p>
            <w:pPr>
              <w:spacing w:line="240" w:lineRule="auto" w:after="40" w:before="40"/>
              <w:jc w:val="center"/>
            </w:pPr>
            <w:r>
              <w:rPr>
                <w:rFonts w:ascii="Times New Roman" w:hAnsi="Times New Roman" w:eastAsia="宋体"/>
                <w:b/>
                <w:sz w:val="21"/>
              </w:rPr>
              <w:t>结果类型</w:t>
            </w:r>
          </w:p>
        </w:tc>
        <w:tc>
          <w:tcPr>
            <w:tcW w:type="dxa" w:w="4195"/>
            <w:shd w:val="clear" w:fill="D9D9D9"/>
            <w:vAlign w:val="center"/>
          </w:tcPr>
          <w:p>
            <w:pPr>
              <w:spacing w:line="240" w:lineRule="auto" w:after="40" w:before="40"/>
              <w:jc w:val="center"/>
            </w:pPr>
            <w:r>
              <w:rPr>
                <w:rFonts w:ascii="Times New Roman" w:hAnsi="Times New Roman" w:eastAsia="宋体"/>
                <w:b/>
                <w:sz w:val="21"/>
              </w:rPr>
              <w:t>所在位置</w:t>
            </w:r>
          </w:p>
        </w:tc>
        <w:tc>
          <w:tcPr>
            <w:tcW w:type="dxa" w:w="2608"/>
            <w:shd w:val="clear" w:fill="D9D9D9"/>
            <w:vAlign w:val="center"/>
          </w:tcPr>
          <w:p>
            <w:pPr>
              <w:spacing w:line="240" w:lineRule="auto" w:after="40" w:before="40"/>
              <w:jc w:val="center"/>
            </w:pPr>
            <w:r>
              <w:rPr>
                <w:rFonts w:ascii="Times New Roman" w:hAnsi="Times New Roman" w:eastAsia="宋体"/>
                <w:b/>
                <w:sz w:val="21"/>
              </w:rPr>
              <w:t>查看方式</w:t>
            </w:r>
          </w:p>
        </w:tc>
      </w:tr>
      <w:tr>
        <w:tc>
          <w:tcPr>
            <w:tcW w:type="dxa" w:w="1814"/>
            <w:vAlign w:val="center"/>
          </w:tcPr>
          <w:p>
            <w:pPr>
              <w:spacing w:line="240" w:lineRule="auto" w:after="40" w:before="40"/>
              <w:jc w:val="center"/>
            </w:pPr>
            <w:r>
              <w:rPr>
                <w:rFonts w:ascii="Times New Roman" w:hAnsi="Times New Roman" w:eastAsia="宋体"/>
                <w:b w:val="0"/>
                <w:sz w:val="21"/>
              </w:rPr>
              <w:t>论文图</w:t>
            </w:r>
          </w:p>
        </w:tc>
        <w:tc>
          <w:tcPr>
            <w:tcW w:type="dxa" w:w="4195"/>
            <w:vAlign w:val="center"/>
          </w:tcPr>
          <w:p>
            <w:pPr>
              <w:spacing w:line="240" w:lineRule="auto" w:after="40" w:before="40"/>
              <w:jc w:val="left"/>
            </w:pPr>
            <w:r>
              <w:rPr>
                <w:rFonts w:ascii="Times New Roman" w:hAnsi="Times New Roman" w:eastAsia="宋体"/>
                <w:b w:val="0"/>
                <w:sz w:val="21"/>
              </w:rPr>
              <w:t>results\figures（图5-1至图5-7等）</w:t>
            </w:r>
          </w:p>
        </w:tc>
        <w:tc>
          <w:tcPr>
            <w:tcW w:type="dxa" w:w="2608"/>
            <w:vAlign w:val="center"/>
          </w:tcPr>
          <w:p>
            <w:pPr>
              <w:spacing w:line="240" w:lineRule="auto" w:after="40" w:before="40"/>
              <w:jc w:val="center"/>
            </w:pPr>
            <w:r>
              <w:rPr>
                <w:rFonts w:ascii="Times New Roman" w:hAnsi="Times New Roman" w:eastAsia="宋体"/>
                <w:b w:val="0"/>
                <w:sz w:val="21"/>
              </w:rPr>
              <w:t>直接双击 PNG</w:t>
            </w:r>
          </w:p>
        </w:tc>
      </w:tr>
      <w:tr>
        <w:tc>
          <w:tcPr>
            <w:tcW w:type="dxa" w:w="1814"/>
            <w:vAlign w:val="center"/>
          </w:tcPr>
          <w:p>
            <w:pPr>
              <w:spacing w:line="240" w:lineRule="auto" w:after="40" w:before="40"/>
              <w:jc w:val="center"/>
            </w:pPr>
            <w:r>
              <w:rPr>
                <w:rFonts w:ascii="Times New Roman" w:hAnsi="Times New Roman" w:eastAsia="宋体"/>
                <w:b w:val="0"/>
                <w:sz w:val="21"/>
              </w:rPr>
              <w:t>运行数据</w:t>
            </w:r>
          </w:p>
        </w:tc>
        <w:tc>
          <w:tcPr>
            <w:tcW w:type="dxa" w:w="4195"/>
            <w:vAlign w:val="center"/>
          </w:tcPr>
          <w:p>
            <w:pPr>
              <w:spacing w:line="240" w:lineRule="auto" w:after="40" w:before="40"/>
              <w:jc w:val="left"/>
            </w:pPr>
            <w:r>
              <w:rPr>
                <w:rFonts w:ascii="Times New Roman" w:hAnsi="Times New Roman" w:eastAsia="宋体"/>
                <w:b w:val="0"/>
                <w:sz w:val="21"/>
              </w:rPr>
              <w:t>results\runs（xlsx、csv）</w:t>
            </w:r>
          </w:p>
        </w:tc>
        <w:tc>
          <w:tcPr>
            <w:tcW w:type="dxa" w:w="2608"/>
            <w:vAlign w:val="center"/>
          </w:tcPr>
          <w:p>
            <w:pPr>
              <w:spacing w:line="240" w:lineRule="auto" w:after="40" w:before="40"/>
              <w:jc w:val="left"/>
            </w:pPr>
            <w:r>
              <w:rPr>
                <w:rFonts w:ascii="Times New Roman" w:hAnsi="Times New Roman" w:eastAsia="宋体"/>
                <w:b w:val="0"/>
                <w:sz w:val="21"/>
              </w:rPr>
              <w:t>用 Excel 打开</w:t>
            </w:r>
          </w:p>
        </w:tc>
      </w:tr>
      <w:tr>
        <w:tc>
          <w:tcPr>
            <w:tcW w:type="dxa" w:w="1814"/>
            <w:vAlign w:val="center"/>
          </w:tcPr>
          <w:p>
            <w:pPr>
              <w:spacing w:line="240" w:lineRule="auto" w:after="40" w:before="40"/>
              <w:jc w:val="center"/>
            </w:pPr>
            <w:r>
              <w:rPr>
                <w:rFonts w:ascii="Times New Roman" w:hAnsi="Times New Roman" w:eastAsia="宋体"/>
                <w:b w:val="0"/>
                <w:sz w:val="21"/>
              </w:rPr>
              <w:t>批量大数据</w:t>
            </w:r>
          </w:p>
        </w:tc>
        <w:tc>
          <w:tcPr>
            <w:tcW w:type="dxa" w:w="4195"/>
            <w:vAlign w:val="center"/>
          </w:tcPr>
          <w:p>
            <w:pPr>
              <w:spacing w:line="240" w:lineRule="auto" w:after="40" w:before="40"/>
              <w:jc w:val="left"/>
            </w:pPr>
            <w:r>
              <w:rPr>
                <w:rFonts w:ascii="Times New Roman" w:hAnsi="Times New Roman" w:eastAsia="宋体"/>
                <w:b w:val="0"/>
                <w:sz w:val="21"/>
              </w:rPr>
              <w:t>批量实验_run级.csv、批量实验_个体级.csv</w:t>
            </w:r>
          </w:p>
        </w:tc>
        <w:tc>
          <w:tcPr>
            <w:tcW w:type="dxa" w:w="2608"/>
            <w:vAlign w:val="center"/>
          </w:tcPr>
          <w:p>
            <w:pPr>
              <w:spacing w:line="240" w:lineRule="auto" w:after="40" w:before="40"/>
              <w:jc w:val="left"/>
            </w:pPr>
            <w:r>
              <w:rPr>
                <w:rFonts w:ascii="Times New Roman" w:hAnsi="Times New Roman" w:eastAsia="宋体"/>
                <w:b w:val="0"/>
                <w:sz w:val="21"/>
              </w:rPr>
              <w:t>Excel 或数据分析环境</w:t>
            </w:r>
          </w:p>
        </w:tc>
      </w:tr>
      <w:tr>
        <w:tc>
          <w:tcPr>
            <w:tcW w:type="dxa" w:w="1814"/>
            <w:vAlign w:val="center"/>
          </w:tcPr>
          <w:p>
            <w:pPr>
              <w:spacing w:line="240" w:lineRule="auto" w:after="40" w:before="40"/>
              <w:jc w:val="center"/>
            </w:pPr>
            <w:r>
              <w:rPr>
                <w:rFonts w:ascii="Times New Roman" w:hAnsi="Times New Roman" w:eastAsia="宋体"/>
                <w:b w:val="0"/>
                <w:sz w:val="21"/>
              </w:rPr>
              <w:t>决策审计</w:t>
            </w:r>
          </w:p>
        </w:tc>
        <w:tc>
          <w:tcPr>
            <w:tcW w:type="dxa" w:w="4195"/>
            <w:vAlign w:val="center"/>
          </w:tcPr>
          <w:p>
            <w:pPr>
              <w:spacing w:line="240" w:lineRule="auto" w:after="40" w:before="40"/>
              <w:jc w:val="left"/>
            </w:pPr>
            <w:r>
              <w:rPr>
                <w:rFonts w:ascii="Times New Roman" w:hAnsi="Times New Roman" w:eastAsia="宋体"/>
                <w:b w:val="0"/>
                <w:sz w:val="21"/>
              </w:rPr>
              <w:t>results\runs\llm_calls.jsonl</w:t>
            </w:r>
          </w:p>
        </w:tc>
        <w:tc>
          <w:tcPr>
            <w:tcW w:type="dxa" w:w="2608"/>
            <w:vAlign w:val="center"/>
          </w:tcPr>
          <w:p>
            <w:pPr>
              <w:spacing w:line="240" w:lineRule="auto" w:after="40" w:before="40"/>
              <w:jc w:val="left"/>
            </w:pPr>
            <w:r>
              <w:rPr>
                <w:rFonts w:ascii="Times New Roman" w:hAnsi="Times New Roman" w:eastAsia="宋体"/>
                <w:b w:val="0"/>
                <w:sz w:val="21"/>
              </w:rPr>
              <w:t>记事本或 VSCode</w:t>
            </w:r>
          </w:p>
        </w:tc>
      </w:tr>
      <w:tr>
        <w:tc>
          <w:tcPr>
            <w:tcW w:type="dxa" w:w="1814"/>
            <w:vAlign w:val="center"/>
          </w:tcPr>
          <w:p>
            <w:pPr>
              <w:spacing w:line="240" w:lineRule="auto" w:after="40" w:before="40"/>
              <w:jc w:val="center"/>
            </w:pPr>
            <w:r>
              <w:rPr>
                <w:rFonts w:ascii="Times New Roman" w:hAnsi="Times New Roman" w:eastAsia="宋体"/>
                <w:b w:val="0"/>
                <w:sz w:val="21"/>
              </w:rPr>
              <w:t>说明文档</w:t>
            </w:r>
          </w:p>
        </w:tc>
        <w:tc>
          <w:tcPr>
            <w:tcW w:type="dxa" w:w="4195"/>
            <w:vAlign w:val="center"/>
          </w:tcPr>
          <w:p>
            <w:pPr>
              <w:spacing w:line="240" w:lineRule="auto" w:after="40" w:before="40"/>
              <w:jc w:val="left"/>
            </w:pPr>
            <w:r>
              <w:rPr>
                <w:rFonts w:ascii="Times New Roman" w:hAnsi="Times New Roman" w:eastAsia="宋体"/>
                <w:b w:val="0"/>
                <w:sz w:val="21"/>
              </w:rPr>
              <w:t>docs（校准日志、效度报告、复现指南）</w:t>
            </w:r>
          </w:p>
        </w:tc>
        <w:tc>
          <w:tcPr>
            <w:tcW w:type="dxa" w:w="2608"/>
            <w:vAlign w:val="center"/>
          </w:tcPr>
          <w:p>
            <w:pPr>
              <w:spacing w:line="240" w:lineRule="auto" w:after="40" w:before="40"/>
              <w:jc w:val="left"/>
            </w:pPr>
            <w:r>
              <w:rPr>
                <w:rFonts w:ascii="Times New Roman" w:hAnsi="Times New Roman" w:eastAsia="宋体"/>
                <w:b w:val="0"/>
                <w:sz w:val="21"/>
              </w:rPr>
              <w:t>Markdown 编辑器</w:t>
            </w:r>
          </w:p>
        </w:tc>
      </w:tr>
    </w:tbl>
    <w:p>
      <w:pPr>
        <w:spacing w:before="80" w:after="40"/>
        <w:jc w:val="center"/>
      </w:pPr>
      <w:r>
        <w:rPr>
          <w:b/>
          <w:sz w:val="21"/>
          <w:rFonts w:eastAsia="宋体"/>
        </w:rPr>
        <w:t>表2 结果文件与查看方式</w:t>
      </w:r>
    </w:p>
    <w:p>
      <w:pPr>
        <w:spacing w:before="80"/>
        <w:jc w:val="center"/>
      </w:pPr>
      <w:r>
        <w:drawing>
          <wp:inline xmlns:a="http://schemas.openxmlformats.org/drawingml/2006/main" xmlns:pic="http://schemas.openxmlformats.org/drawingml/2006/picture">
            <wp:extent cx="5400000" cy="1571595"/>
            <wp:docPr id="2" name="Picture 2"/>
            <wp:cNvGraphicFramePr>
              <a:graphicFrameLocks noChangeAspect="1"/>
            </wp:cNvGraphicFramePr>
            <a:graphic>
              <a:graphicData uri="http://schemas.openxmlformats.org/drawingml/2006/picture">
                <pic:pic>
                  <pic:nvPicPr>
                    <pic:cNvPr id="0" name="fig_批量结果分布.png"/>
                    <pic:cNvPicPr/>
                  </pic:nvPicPr>
                  <pic:blipFill>
                    <a:blip r:embed="rId10"/>
                    <a:stretch>
                      <a:fillRect/>
                    </a:stretch>
                  </pic:blipFill>
                  <pic:spPr>
                    <a:xfrm>
                      <a:off x="0" y="0"/>
                      <a:ext cx="5400000" cy="1571595"/>
                    </a:xfrm>
                    <a:prstGeom prst="rect"/>
                  </pic:spPr>
                </pic:pic>
              </a:graphicData>
            </a:graphic>
          </wp:inline>
        </w:drawing>
      </w:r>
    </w:p>
    <w:p>
      <w:pPr>
        <w:spacing w:before="40" w:after="120"/>
        <w:jc w:val="center"/>
      </w:pPr>
      <w:r>
        <w:rPr>
          <w:b/>
          <w:sz w:val="21"/>
          <w:rFonts w:eastAsia="宋体"/>
        </w:rPr>
        <w:t>图2 大规模计算实验结果分布（安全率、自救撤离率、救援依赖率）</w:t>
      </w:r>
    </w:p>
    <w:p>
      <w:pPr>
        <w:pStyle w:val="Heading1"/>
      </w:pPr>
      <w:bookmarkStart w:id="14" w:name="_LarkToc00014"/>
      <w:r>
        <w:t>四、科学性</w:t>
      </w:r>
      <w:bookmarkEnd w:id="14"/>
    </w:p>
    <w:p>
      <w:pPr>
        <w:pStyle w:val="Heading2"/>
      </w:pPr>
      <w:bookmarkStart w:id="15" w:name="_LarkToc00015"/>
      <w:r>
        <w:t>（一）四层效度证据</w:t>
      </w:r>
      <w:bookmarkEnd w:id="15"/>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2268"/>
        <w:gridCol w:w="2268"/>
        <w:gridCol w:w="2268"/>
        <w:gridCol w:w="2268"/>
      </w:tblGrid>
      <w:tr>
        <w:tc>
          <w:tcPr>
            <w:tcW w:type="dxa" w:w="1928"/>
            <w:shd w:val="clear" w:fill="D9D9D9"/>
            <w:vAlign w:val="center"/>
          </w:tcPr>
          <w:p>
            <w:pPr>
              <w:spacing w:line="240" w:lineRule="auto" w:after="40" w:before="40"/>
              <w:jc w:val="center"/>
            </w:pPr>
            <w:r>
              <w:rPr>
                <w:rFonts w:ascii="Times New Roman" w:hAnsi="Times New Roman" w:eastAsia="宋体"/>
                <w:b/>
                <w:sz w:val="21"/>
              </w:rPr>
              <w:t>验证类型</w:t>
            </w:r>
          </w:p>
        </w:tc>
        <w:tc>
          <w:tcPr>
            <w:tcW w:type="dxa" w:w="2381"/>
            <w:shd w:val="clear" w:fill="D9D9D9"/>
            <w:vAlign w:val="center"/>
          </w:tcPr>
          <w:p>
            <w:pPr>
              <w:spacing w:line="240" w:lineRule="auto" w:after="40" w:before="40"/>
              <w:jc w:val="center"/>
            </w:pPr>
            <w:r>
              <w:rPr>
                <w:rFonts w:ascii="Times New Roman" w:hAnsi="Times New Roman" w:eastAsia="宋体"/>
                <w:b/>
                <w:sz w:val="21"/>
              </w:rPr>
              <w:t>数据或案例</w:t>
            </w:r>
          </w:p>
        </w:tc>
        <w:tc>
          <w:tcPr>
            <w:tcW w:type="dxa" w:w="3175"/>
            <w:shd w:val="clear" w:fill="D9D9D9"/>
            <w:vAlign w:val="center"/>
          </w:tcPr>
          <w:p>
            <w:pPr>
              <w:spacing w:line="240" w:lineRule="auto" w:after="40" w:before="40"/>
              <w:jc w:val="center"/>
            </w:pPr>
            <w:r>
              <w:rPr>
                <w:rFonts w:ascii="Times New Roman" w:hAnsi="Times New Roman" w:eastAsia="宋体"/>
                <w:b/>
                <w:sz w:val="21"/>
              </w:rPr>
              <w:t>关键结果</w:t>
            </w:r>
          </w:p>
        </w:tc>
        <w:tc>
          <w:tcPr>
            <w:tcW w:type="dxa" w:w="1134"/>
            <w:shd w:val="clear" w:fill="D9D9D9"/>
            <w:vAlign w:val="center"/>
          </w:tcPr>
          <w:p>
            <w:pPr>
              <w:spacing w:line="240" w:lineRule="auto" w:after="40" w:before="40"/>
              <w:jc w:val="center"/>
            </w:pPr>
            <w:r>
              <w:rPr>
                <w:rFonts w:ascii="Times New Roman" w:hAnsi="Times New Roman" w:eastAsia="宋体"/>
                <w:b/>
                <w:sz w:val="21"/>
              </w:rPr>
              <w:t>结论</w:t>
            </w:r>
          </w:p>
        </w:tc>
      </w:tr>
      <w:tr>
        <w:tc>
          <w:tcPr>
            <w:tcW w:type="dxa" w:w="1928"/>
            <w:vAlign w:val="center"/>
          </w:tcPr>
          <w:p>
            <w:pPr>
              <w:spacing w:line="240" w:lineRule="auto" w:after="40" w:before="40"/>
              <w:jc w:val="center"/>
            </w:pPr>
            <w:r>
              <w:rPr>
                <w:rFonts w:ascii="Times New Roman" w:hAnsi="Times New Roman" w:eastAsia="宋体"/>
                <w:b w:val="0"/>
                <w:sz w:val="21"/>
              </w:rPr>
              <w:t>案例回放（表面效度）</w:t>
            </w:r>
          </w:p>
        </w:tc>
        <w:tc>
          <w:tcPr>
            <w:tcW w:type="dxa" w:w="2381"/>
            <w:vAlign w:val="center"/>
          </w:tcPr>
          <w:p>
            <w:pPr>
              <w:spacing w:line="240" w:lineRule="auto" w:after="40" w:before="40"/>
              <w:jc w:val="left"/>
            </w:pPr>
            <w:r>
              <w:rPr>
                <w:rFonts w:ascii="Times New Roman" w:hAnsi="Times New Roman" w:eastAsia="宋体"/>
                <w:b w:val="0"/>
                <w:sz w:val="21"/>
              </w:rPr>
              <w:t>郑州5号线、金安桥</w:t>
            </w:r>
          </w:p>
        </w:tc>
        <w:tc>
          <w:tcPr>
            <w:tcW w:type="dxa" w:w="3175"/>
            <w:vAlign w:val="center"/>
          </w:tcPr>
          <w:p>
            <w:pPr>
              <w:spacing w:line="240" w:lineRule="auto" w:after="40" w:before="40"/>
              <w:jc w:val="left"/>
            </w:pPr>
            <w:r>
              <w:rPr>
                <w:rFonts w:ascii="Times New Roman" w:hAnsi="Times New Roman" w:eastAsia="宋体"/>
                <w:b w:val="0"/>
                <w:sz w:val="21"/>
              </w:rPr>
              <w:t>里程碑方向一致、存活率量级接近</w:t>
            </w:r>
          </w:p>
        </w:tc>
        <w:tc>
          <w:tcPr>
            <w:tcW w:type="dxa" w:w="1134"/>
            <w:vAlign w:val="center"/>
          </w:tcPr>
          <w:p>
            <w:pPr>
              <w:spacing w:line="240" w:lineRule="auto" w:after="40" w:before="40"/>
              <w:jc w:val="center"/>
            </w:pPr>
            <w:r>
              <w:rPr>
                <w:rFonts w:ascii="Times New Roman" w:hAnsi="Times New Roman" w:eastAsia="宋体"/>
                <w:b w:val="0"/>
                <w:sz w:val="21"/>
              </w:rPr>
              <w:t>通过</w:t>
            </w:r>
          </w:p>
        </w:tc>
      </w:tr>
      <w:tr>
        <w:tc>
          <w:tcPr>
            <w:tcW w:type="dxa" w:w="1928"/>
            <w:vAlign w:val="center"/>
          </w:tcPr>
          <w:p>
            <w:pPr>
              <w:spacing w:line="240" w:lineRule="auto" w:after="40" w:before="40"/>
              <w:jc w:val="center"/>
            </w:pPr>
            <w:r>
              <w:rPr>
                <w:rFonts w:ascii="Times New Roman" w:hAnsi="Times New Roman" w:eastAsia="宋体"/>
                <w:b w:val="0"/>
                <w:sz w:val="21"/>
              </w:rPr>
              <w:t>经典效应（构念效度）</w:t>
            </w:r>
          </w:p>
        </w:tc>
        <w:tc>
          <w:tcPr>
            <w:tcW w:type="dxa" w:w="2381"/>
            <w:vAlign w:val="center"/>
          </w:tcPr>
          <w:p>
            <w:pPr>
              <w:spacing w:line="240" w:lineRule="auto" w:after="40" w:before="40"/>
              <w:jc w:val="left"/>
            </w:pPr>
            <w:r>
              <w:rPr>
                <w:rFonts w:ascii="Times New Roman" w:hAnsi="Times New Roman" w:eastAsia="宋体"/>
                <w:b w:val="0"/>
                <w:sz w:val="21"/>
              </w:rPr>
              <w:t>播报、从众、熟悉出口、瓶颈</w:t>
            </w:r>
          </w:p>
        </w:tc>
        <w:tc>
          <w:tcPr>
            <w:tcW w:type="dxa" w:w="3175"/>
            <w:vAlign w:val="center"/>
          </w:tcPr>
          <w:p>
            <w:pPr>
              <w:spacing w:line="240" w:lineRule="auto" w:after="40" w:before="40"/>
              <w:jc w:val="left"/>
            </w:pPr>
            <w:r>
              <w:rPr>
                <w:rFonts w:ascii="Times New Roman" w:hAnsi="Times New Roman" w:eastAsia="宋体"/>
                <w:b w:val="0"/>
                <w:sz w:val="21"/>
              </w:rPr>
              <w:t>四类均 p&lt;0.001、效应量 r=1.0</w:t>
            </w:r>
          </w:p>
        </w:tc>
        <w:tc>
          <w:tcPr>
            <w:tcW w:type="dxa" w:w="1134"/>
            <w:vAlign w:val="center"/>
          </w:tcPr>
          <w:p>
            <w:pPr>
              <w:spacing w:line="240" w:lineRule="auto" w:after="40" w:before="40"/>
              <w:jc w:val="center"/>
            </w:pPr>
            <w:r>
              <w:rPr>
                <w:rFonts w:ascii="Times New Roman" w:hAnsi="Times New Roman" w:eastAsia="宋体"/>
                <w:b w:val="0"/>
                <w:sz w:val="21"/>
              </w:rPr>
              <w:t>通过</w:t>
            </w:r>
          </w:p>
        </w:tc>
      </w:tr>
      <w:tr>
        <w:tc>
          <w:tcPr>
            <w:tcW w:type="dxa" w:w="1928"/>
            <w:vAlign w:val="center"/>
          </w:tcPr>
          <w:p>
            <w:pPr>
              <w:spacing w:line="240" w:lineRule="auto" w:after="40" w:before="40"/>
              <w:jc w:val="center"/>
            </w:pPr>
            <w:r>
              <w:rPr>
                <w:rFonts w:ascii="Times New Roman" w:hAnsi="Times New Roman" w:eastAsia="宋体"/>
                <w:b w:val="0"/>
                <w:sz w:val="21"/>
              </w:rPr>
              <w:t>留出外推（外部效度）</w:t>
            </w:r>
          </w:p>
        </w:tc>
        <w:tc>
          <w:tcPr>
            <w:tcW w:type="dxa" w:w="2381"/>
            <w:vAlign w:val="center"/>
          </w:tcPr>
          <w:p>
            <w:pPr>
              <w:spacing w:line="240" w:lineRule="auto" w:after="40" w:before="40"/>
              <w:jc w:val="left"/>
            </w:pPr>
            <w:r>
              <w:rPr>
                <w:rFonts w:ascii="Times New Roman" w:hAnsi="Times New Roman" w:eastAsia="宋体"/>
                <w:b w:val="0"/>
                <w:sz w:val="21"/>
              </w:rPr>
              <w:t>金沙湖等4个未校准案例</w:t>
            </w:r>
          </w:p>
        </w:tc>
        <w:tc>
          <w:tcPr>
            <w:tcW w:type="dxa" w:w="3175"/>
            <w:vAlign w:val="center"/>
          </w:tcPr>
          <w:p>
            <w:pPr>
              <w:spacing w:line="240" w:lineRule="auto" w:after="40" w:before="40"/>
              <w:jc w:val="left"/>
            </w:pPr>
            <w:r>
              <w:rPr>
                <w:rFonts w:ascii="Times New Roman" w:hAnsi="Times New Roman" w:eastAsia="宋体"/>
                <w:b w:val="0"/>
                <w:sz w:val="21"/>
              </w:rPr>
              <w:t>死亡特异性1.00、首撤误差中位0.3分钟</w:t>
            </w:r>
          </w:p>
        </w:tc>
        <w:tc>
          <w:tcPr>
            <w:tcW w:type="dxa" w:w="1134"/>
            <w:vAlign w:val="center"/>
          </w:tcPr>
          <w:p>
            <w:pPr>
              <w:spacing w:line="240" w:lineRule="auto" w:after="40" w:before="40"/>
              <w:jc w:val="center"/>
            </w:pPr>
            <w:r>
              <w:rPr>
                <w:rFonts w:ascii="Times New Roman" w:hAnsi="Times New Roman" w:eastAsia="宋体"/>
                <w:b w:val="0"/>
                <w:sz w:val="21"/>
              </w:rPr>
              <w:t>通过</w:t>
            </w:r>
          </w:p>
        </w:tc>
      </w:tr>
      <w:tr>
        <w:tc>
          <w:tcPr>
            <w:tcW w:type="dxa" w:w="1928"/>
            <w:vAlign w:val="center"/>
          </w:tcPr>
          <w:p>
            <w:pPr>
              <w:spacing w:line="240" w:lineRule="auto" w:after="40" w:before="40"/>
              <w:jc w:val="center"/>
            </w:pPr>
            <w:r>
              <w:rPr>
                <w:rFonts w:ascii="Times New Roman" w:hAnsi="Times New Roman" w:eastAsia="宋体"/>
                <w:b w:val="0"/>
                <w:sz w:val="21"/>
              </w:rPr>
              <w:t>稳健性（信度）</w:t>
            </w:r>
          </w:p>
        </w:tc>
        <w:tc>
          <w:tcPr>
            <w:tcW w:type="dxa" w:w="2381"/>
            <w:vAlign w:val="center"/>
          </w:tcPr>
          <w:p>
            <w:pPr>
              <w:spacing w:line="240" w:lineRule="auto" w:after="40" w:before="40"/>
              <w:jc w:val="left"/>
            </w:pPr>
            <w:r>
              <w:rPr>
                <w:rFonts w:ascii="Times New Roman" w:hAnsi="Times New Roman" w:eastAsia="宋体"/>
                <w:b w:val="0"/>
                <w:sz w:val="21"/>
              </w:rPr>
              <w:t>5种时间步长与决策配置</w:t>
            </w:r>
          </w:p>
        </w:tc>
        <w:tc>
          <w:tcPr>
            <w:tcW w:type="dxa" w:w="3175"/>
            <w:vAlign w:val="center"/>
          </w:tcPr>
          <w:p>
            <w:pPr>
              <w:spacing w:line="240" w:lineRule="auto" w:after="40" w:before="40"/>
              <w:jc w:val="center"/>
            </w:pPr>
            <w:r>
              <w:rPr>
                <w:rFonts w:ascii="Times New Roman" w:hAnsi="Times New Roman" w:eastAsia="宋体"/>
                <w:b w:val="0"/>
                <w:sz w:val="21"/>
              </w:rPr>
              <w:t>结论方向稳定</w:t>
            </w:r>
          </w:p>
        </w:tc>
        <w:tc>
          <w:tcPr>
            <w:tcW w:type="dxa" w:w="1134"/>
            <w:vAlign w:val="center"/>
          </w:tcPr>
          <w:p>
            <w:pPr>
              <w:spacing w:line="240" w:lineRule="auto" w:after="40" w:before="40"/>
              <w:jc w:val="center"/>
            </w:pPr>
            <w:r>
              <w:rPr>
                <w:rFonts w:ascii="Times New Roman" w:hAnsi="Times New Roman" w:eastAsia="宋体"/>
                <w:b w:val="0"/>
                <w:sz w:val="21"/>
              </w:rPr>
              <w:t>通过</w:t>
            </w:r>
          </w:p>
        </w:tc>
      </w:tr>
      <w:tr>
        <w:tc>
          <w:tcPr>
            <w:tcW w:type="dxa" w:w="1928"/>
            <w:vAlign w:val="center"/>
          </w:tcPr>
          <w:p>
            <w:pPr>
              <w:spacing w:line="240" w:lineRule="auto" w:after="40" w:before="40"/>
              <w:jc w:val="center"/>
            </w:pPr>
            <w:r>
              <w:rPr>
                <w:rFonts w:ascii="Times New Roman" w:hAnsi="Times New Roman" w:eastAsia="宋体"/>
                <w:b w:val="0"/>
                <w:sz w:val="21"/>
              </w:rPr>
              <w:t>参数敏感性</w:t>
            </w:r>
          </w:p>
        </w:tc>
        <w:tc>
          <w:tcPr>
            <w:tcW w:type="dxa" w:w="2381"/>
            <w:vAlign w:val="center"/>
          </w:tcPr>
          <w:p>
            <w:pPr>
              <w:spacing w:line="240" w:lineRule="auto" w:after="40" w:before="40"/>
              <w:jc w:val="center"/>
            </w:pPr>
            <w:r>
              <w:rPr>
                <w:rFonts w:ascii="Times New Roman" w:hAnsi="Times New Roman" w:eastAsia="宋体"/>
                <w:b w:val="0"/>
                <w:sz w:val="21"/>
              </w:rPr>
              <w:t>八因子单因素扰动</w:t>
            </w:r>
          </w:p>
        </w:tc>
        <w:tc>
          <w:tcPr>
            <w:tcW w:type="dxa" w:w="3175"/>
            <w:vAlign w:val="center"/>
          </w:tcPr>
          <w:p>
            <w:pPr>
              <w:spacing w:line="240" w:lineRule="auto" w:after="40" w:before="40"/>
              <w:jc w:val="left"/>
            </w:pPr>
            <w:r>
              <w:rPr>
                <w:rFonts w:ascii="Times New Roman" w:hAnsi="Times New Roman" w:eastAsia="宋体"/>
                <w:b w:val="0"/>
                <w:sz w:val="21"/>
              </w:rPr>
              <w:t>主导因子为积水速率、峰值水深、报警时机</w:t>
            </w:r>
          </w:p>
        </w:tc>
        <w:tc>
          <w:tcPr>
            <w:tcW w:type="dxa" w:w="1134"/>
            <w:vAlign w:val="center"/>
          </w:tcPr>
          <w:p>
            <w:pPr>
              <w:spacing w:line="240" w:lineRule="auto" w:after="40" w:before="40"/>
              <w:jc w:val="center"/>
            </w:pPr>
            <w:r>
              <w:rPr>
                <w:rFonts w:ascii="Times New Roman" w:hAnsi="Times New Roman" w:eastAsia="宋体"/>
                <w:b w:val="0"/>
                <w:sz w:val="21"/>
              </w:rPr>
              <w:t>杠杆明确</w:t>
            </w:r>
          </w:p>
        </w:tc>
      </w:tr>
    </w:tbl>
    <w:p>
      <w:pPr>
        <w:spacing w:before="80" w:after="40"/>
        <w:jc w:val="center"/>
      </w:pPr>
      <w:r>
        <w:rPr>
          <w:b/>
          <w:sz w:val="21"/>
          <w:rFonts w:eastAsia="宋体"/>
        </w:rPr>
        <w:t>表3 智能体模型的四层效度证据</w:t>
      </w:r>
    </w:p>
    <w:p>
      <w:pPr>
        <w:spacing w:before="80"/>
        <w:jc w:val="center"/>
      </w:pPr>
      <w:r>
        <w:drawing>
          <wp:inline xmlns:a="http://schemas.openxmlformats.org/drawingml/2006/main" xmlns:pic="http://schemas.openxmlformats.org/drawingml/2006/picture">
            <wp:extent cx="5400000" cy="2323867"/>
            <wp:docPr id="3" name="Picture 3"/>
            <wp:cNvGraphicFramePr>
              <a:graphicFrameLocks noChangeAspect="1"/>
            </wp:cNvGraphicFramePr>
            <a:graphic>
              <a:graphicData uri="http://schemas.openxmlformats.org/drawingml/2006/picture">
                <pic:pic>
                  <pic:nvPicPr>
                    <pic:cNvPr id="0" name="fig_因子主效应.png"/>
                    <pic:cNvPicPr/>
                  </pic:nvPicPr>
                  <pic:blipFill>
                    <a:blip r:embed="rId11"/>
                    <a:stretch>
                      <a:fillRect/>
                    </a:stretch>
                  </pic:blipFill>
                  <pic:spPr>
                    <a:xfrm>
                      <a:off x="0" y="0"/>
                      <a:ext cx="5400000" cy="2323867"/>
                    </a:xfrm>
                    <a:prstGeom prst="rect"/>
                  </pic:spPr>
                </pic:pic>
              </a:graphicData>
            </a:graphic>
          </wp:inline>
        </w:drawing>
      </w:r>
    </w:p>
    <w:p>
      <w:pPr>
        <w:spacing w:before="40" w:after="120"/>
        <w:jc w:val="center"/>
      </w:pPr>
      <w:r>
        <w:rPr>
          <w:b/>
          <w:sz w:val="21"/>
          <w:rFonts w:eastAsia="宋体"/>
        </w:rPr>
        <w:t>图3 各情景因子对安全率与自救撤离率的主效应</w:t>
      </w:r>
    </w:p>
    <w:p>
      <w:pPr>
        <w:pStyle w:val="Heading2"/>
      </w:pPr>
      <w:bookmarkStart w:id="16" w:name="_LarkToc00016"/>
      <w:r>
        <w:t>（二）可重复性与防过拟合</w:t>
      </w:r>
      <w:bookmarkEnd w:id="16"/>
    </w:p>
    <w:p>
      <w:pPr>
        <w:ind w:firstLine="480"/>
        <w:jc w:val="both"/>
      </w:pPr>
      <w:r>
        <w:t>研究通过固定随机种子、缓存大语言模型响应、记录全部参数与冻结项来保证可重复性。为防止数据泄漏与过拟合，采取“先冻结校准参数、再进行留出验证与大规模实验”的顺序，校准案例与外推案例严格分离。</w:t>
      </w:r>
    </w:p>
    <w:p>
      <w:pPr>
        <w:pStyle w:val="Heading2"/>
      </w:pPr>
      <w:bookmarkStart w:id="17" w:name="_LarkToc00017"/>
      <w:r>
        <w:t>（三）实验设计与统计检验</w:t>
      </w:r>
      <w:bookmarkEnd w:id="17"/>
    </w:p>
    <w:p>
      <w:pPr>
        <w:ind w:firstLine="480"/>
        <w:jc w:val="both"/>
      </w:pPr>
      <w:r>
        <w:t>实验采用拉丁超立方抽样以获得良好的参数空间覆盖，每个情景点重复20次以刻画随机性，并以非参数检验与效应量评估效应、以单因素敏感性分析识别关键杠杆，从而保证结论具有统计与机制上的依据。</w:t>
      </w:r>
    </w:p>
    <w:p>
      <w:pPr>
        <w:pStyle w:val="Heading2"/>
      </w:pPr>
      <w:bookmarkStart w:id="18" w:name="_LarkToc00018"/>
      <w:r>
        <w:t>（四）诚实的局限报告</w:t>
      </w:r>
      <w:bookmarkEnd w:id="18"/>
    </w:p>
    <w:p>
      <w:pPr>
        <w:ind w:firstLine="480"/>
        <w:jc w:val="both"/>
      </w:pPr>
      <w:r>
        <w:t>模型明确将输出的死亡人数定义为“救援不及时条件下致死风险的保守上界”，而非精确死亡预测；主体批量实验以离线启发式运行并以真实大语言模型抽检。对已知的结构边界，研究如实报告而非通过调参加以掩盖。</w:t>
      </w:r>
    </w:p>
    <w:p>
      <w:pPr>
        <w:pStyle w:val="Heading1"/>
      </w:pPr>
      <w:bookmarkStart w:id="19" w:name="_LarkToc00019"/>
      <w:r>
        <w:t>五、创新性</w:t>
      </w:r>
      <w:bookmarkEnd w:id="19"/>
    </w:p>
    <w:p>
      <w:pPr>
        <w:ind w:firstLine="480"/>
        <w:jc w:val="both"/>
      </w:pPr>
      <w:r>
        <w:t>方法层面，首次将认知架构、知识库检索与异质画像相结合的大语言模型智能体系统性用于城市地下空间水灾疏散，令大语言模型充当计算实验中的虚拟被试，突破了传统仿真固定规则的限制。</w:t>
      </w:r>
    </w:p>
    <w:p>
      <w:pPr>
        <w:ind w:firstLine="480"/>
        <w:jc w:val="both"/>
      </w:pPr>
      <w:r>
        <w:t>数据层面，产出约28.16万条“情景—个体—行为—结局”一体化的带标签行为数据，为真实水灾疏散数据极度稀缺的难题提供了可复用的合成数据资产。</w:t>
      </w:r>
    </w:p>
    <w:p>
      <w:pPr>
        <w:ind w:firstLine="480"/>
        <w:jc w:val="both"/>
      </w:pPr>
      <w:r>
        <w:t>发现层面，定量识别出早期信息（报警与播报时机）是最稳健的干预杠杆，并给出自救撤离率与救援依赖率随情景变化的定量关系及交互效应；范式层面，形成了数据与知识双驱动、以计算实验替代或补充真人实验的低成本可复现路径。</w:t>
      </w:r>
    </w:p>
    <w:p>
      <w:pPr>
        <w:pStyle w:val="Heading1"/>
      </w:pPr>
      <w:bookmarkStart w:id="20" w:name="_LarkToc00020"/>
      <w:r>
        <w:t>六、研究价值</w:t>
      </w:r>
      <w:bookmarkEnd w:id="20"/>
    </w:p>
    <w:p>
      <w:pPr>
        <w:ind w:firstLine="480"/>
        <w:jc w:val="both"/>
      </w:pPr>
      <w:r>
        <w:t>理论上，研究在认知层面解释疏散行为的形成机制，建立情景与行为之间的关联与可解释规律，补充了地下空间水灾这一高风险、低数据场景的行为理论。实践上，研究为报警时机、应急播报内容、楼扶梯与出口组织、救援运力与时间窗配置提供定量依据，可用于预案编制、演练培训与站务决策。对国家社会科学基金项目而言，成果完整对应研究内容，交付情景库、智能体模型、带标签数据集、行为规律与可复现平台，形态齐全、可演示、可核查。</w:t>
      </w:r>
    </w:p>
    <w:p>
      <w:pPr>
        <w:pStyle w:val="Heading1"/>
      </w:pPr>
      <w:bookmarkStart w:id="21" w:name="_LarkToc00021"/>
      <w:r>
        <w:t>七、合理性：对“开放站厅零死亡”的说明</w:t>
      </w:r>
      <w:bookmarkEnd w:id="21"/>
    </w:p>
    <w:p>
      <w:pPr>
        <w:ind w:firstLine="480"/>
        <w:jc w:val="both"/>
      </w:pPr>
      <w:r>
        <w:t>在开放站厅网络下，模型得到存活率接近1、死亡仿真占比为0的结果，这是真实且合理的，而非模型失效。现实中开放站厅层水灾的死亡本就罕见，致死事件高度集中于列车车厢、区间隧道等密闭空间漫顶；人群在楼扶梯被淹之前向上层干区撤退，是被反复观察到的真实机制。</w:t>
      </w:r>
    </w:p>
    <w:p>
      <w:pPr>
        <w:ind w:firstLine="480"/>
        <w:jc w:val="both"/>
      </w:pPr>
      <w:r>
        <w:t>研究不通过压低救援运力人为制造死亡，因为那等价于为拟合结果而调参，会损害模型的预测能力；研究已将“车厢密闭微结构缺失”明确列为效度边界与未来工作。关键假设均有出处：救援运力参照郑州数小时提取约953人的多队聚合速率，通行阈值取自规范与文献，水深曲线参数由真实案例标定。局限透明、结论可证伪、后续可改进，共同保证了研究的合理性。</w:t>
      </w:r>
    </w:p>
    <w:p>
      <w:pPr>
        <w:pStyle w:val="Heading1"/>
      </w:pPr>
      <w:bookmarkStart w:id="22" w:name="_LarkToc00022"/>
      <w:r>
        <w:t>八、结论</w:t>
      </w:r>
      <w:bookmarkEnd w:id="22"/>
    </w:p>
    <w:p>
      <w:pPr>
        <w:ind w:firstLine="480"/>
        <w:jc w:val="both"/>
      </w:pPr>
      <w:r>
        <w:t>本研究以可复现的大语言模型智能体计算实验替代不可行的真人实验，以四层效度证据证明模型可信，以约28万条带标签数据支撑疏散规律挖掘。其结论诚实、假设可溯，在科学性、创新性、研究价值与合理性方面均能够得到有效支撑，可为城市地下空间水灾应急管理与人群疏散决策提供参考。</w:t>
      </w:r>
    </w:p>
    <w:sectPr w:rsidR="00FC693F" w:rsidRPr="0006063C" w:rsidSect="00034616">
      <w:footerReference w:type="default" r:id="rId1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ff0aadca9a4df78145bc91ef33e814952b8740a495b54211807eb1029717345a:98f3d9236db4a2bd1d6bc3222671bd17158f77ac09d749fc83b1a5c4c193aac4"/>
  </w:docVars>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center"/>
    </w:pPr>
    <w:rPr>
      <w:rFonts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