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  <w:lang w:val="en-US" w:eastAsia="zh-CN"/>
        </w:rPr>
      </w:pPr>
      <w:bookmarkStart w:id="0" w:name="_Toc497"/>
      <w:r>
        <w:rPr>
          <w:rFonts w:hint="eastAsia"/>
          <w:lang w:val="en-US" w:eastAsia="zh-CN"/>
        </w:rPr>
        <w:t>目录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90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_Toc497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接入流程</w:t>
          </w:r>
          <w:r>
            <w:tab/>
          </w:r>
          <w:r>
            <w:fldChar w:fldCharType="begin"/>
          </w:r>
          <w:r>
            <w:instrText xml:space="preserve"> PAGEREF _Toc31254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适配资源表</w:t>
          </w:r>
          <w:r>
            <w:tab/>
          </w:r>
          <w:r>
            <w:fldChar w:fldCharType="begin"/>
          </w:r>
          <w:r>
            <w:instrText xml:space="preserve"> PAGEREF _Toc19311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初始化打包工具</w:t>
          </w:r>
          <w:r>
            <w:tab/>
          </w:r>
          <w:r>
            <w:fldChar w:fldCharType="begin"/>
          </w:r>
          <w:r>
            <w:instrText xml:space="preserve"> PAGEREF _Toc10938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接入运行时代码</w:t>
          </w:r>
          <w:r>
            <w:tab/>
          </w:r>
          <w:r>
            <w:fldChar w:fldCharType="begin"/>
          </w:r>
          <w:r>
            <w:instrText xml:space="preserve"> PAGEREF _Toc20675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使用打包工具</w:t>
          </w:r>
          <w:r>
            <w:tab/>
          </w:r>
          <w:r>
            <w:fldChar w:fldCharType="begin"/>
          </w:r>
          <w:r>
            <w:instrText xml:space="preserve"> PAGEREF _Toc6421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代码目录</w:t>
          </w:r>
          <w:r>
            <w:tab/>
          </w:r>
          <w:r>
            <w:fldChar w:fldCharType="begin"/>
          </w:r>
          <w:r>
            <w:instrText xml:space="preserve"> PAGEREF _Toc15947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编辑器界面</w:t>
          </w:r>
          <w:r>
            <w:tab/>
          </w:r>
          <w:r>
            <w:fldChar w:fldCharType="begin"/>
          </w:r>
          <w:r>
            <w:instrText xml:space="preserve"> PAGEREF _Toc3034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eastAsia="zh-CN"/>
            </w:rPr>
            <w:t>打包配置界面</w:t>
          </w:r>
          <w:r>
            <w:tab/>
          </w:r>
          <w:r>
            <w:fldChar w:fldCharType="begin"/>
          </w:r>
          <w:r>
            <w:instrText xml:space="preserve"> PAGEREF _Toc1161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固定包配置界面</w:t>
          </w:r>
          <w:r>
            <w:tab/>
          </w:r>
          <w:r>
            <w:fldChar w:fldCharType="begin"/>
          </w:r>
          <w:r>
            <w:instrText xml:space="preserve"> PAGEREF _Toc27544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AB检查窗口</w:t>
          </w:r>
          <w:r>
            <w:tab/>
          </w:r>
          <w:r>
            <w:fldChar w:fldCharType="begin"/>
          </w:r>
          <w:r>
            <w:instrText xml:space="preserve"> PAGEREF _Toc9092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使用AssetManager资源管理器</w:t>
          </w:r>
          <w:r>
            <w:tab/>
          </w:r>
          <w:r>
            <w:fldChar w:fldCharType="begin"/>
          </w:r>
          <w:r>
            <w:instrText xml:space="preserve"> PAGEREF _Toc21288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代码目录</w:t>
          </w:r>
          <w:r>
            <w:tab/>
          </w:r>
          <w:r>
            <w:fldChar w:fldCharType="begin"/>
          </w:r>
          <w:r>
            <w:instrText xml:space="preserve"> PAGEREF _Toc8690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API接口</w:t>
          </w:r>
          <w:r>
            <w:tab/>
          </w:r>
          <w:r>
            <w:fldChar w:fldCharType="begin"/>
          </w:r>
          <w:r>
            <w:instrText xml:space="preserve"> PAGEREF _Toc12447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" w:name="_Toc31254"/>
      <w:r>
        <w:rPr>
          <w:rFonts w:hint="eastAsia"/>
          <w:lang w:val="en-US" w:eastAsia="zh-CN"/>
        </w:rPr>
        <w:t>接入流程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9311"/>
      <w:r>
        <w:rPr>
          <w:rFonts w:hint="eastAsia"/>
          <w:lang w:val="en-US" w:eastAsia="zh-CN"/>
        </w:rPr>
        <w:t>适配资源表</w:t>
      </w:r>
      <w:bookmarkEnd w:id="2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实现一个资源表适配器，实现</w:t>
      </w:r>
      <w:r>
        <w:rPr>
          <w:rFonts w:hint="eastAsia"/>
          <w:b/>
          <w:bCs/>
          <w:lang w:val="en-US" w:eastAsia="zh-CN"/>
        </w:rPr>
        <w:t>IAssetTableAdapter</w:t>
      </w:r>
      <w:r>
        <w:rPr>
          <w:rFonts w:hint="eastAsia"/>
          <w:b w:val="0"/>
          <w:bCs w:val="0"/>
          <w:lang w:val="en-US" w:eastAsia="zh-CN"/>
        </w:rPr>
        <w:t>接口，将项目的资源表转换成统一的</w:t>
      </w:r>
      <w:r>
        <w:rPr>
          <w:rFonts w:hint="eastAsia"/>
          <w:b/>
          <w:bCs/>
          <w:lang w:val="en-US" w:eastAsia="zh-CN"/>
        </w:rPr>
        <w:t>AssetInfo</w:t>
      </w:r>
      <w:r>
        <w:rPr>
          <w:rFonts w:hint="eastAsia"/>
          <w:b w:val="0"/>
          <w:bCs w:val="0"/>
          <w:lang w:val="en-US" w:eastAsia="zh-CN"/>
        </w:rPr>
        <w:t>。例如：</w:t>
      </w:r>
    </w:p>
    <w:p>
      <w:r>
        <w:drawing>
          <wp:inline distT="0" distB="0" distL="114300" distR="114300">
            <wp:extent cx="5272405" cy="40779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7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3" w:name="_Toc10938"/>
      <w:r>
        <w:rPr>
          <w:rFonts w:hint="eastAsia"/>
          <w:lang w:val="en-US" w:eastAsia="zh-CN"/>
        </w:rPr>
        <w:t>初始化打包工具</w:t>
      </w:r>
      <w:bookmarkEnd w:id="3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lang w:val="en-US" w:eastAsia="zh-CN"/>
        </w:rPr>
        <w:t>AssetBundleBuilderInitializer</w:t>
      </w:r>
      <w:r>
        <w:rPr>
          <w:rFonts w:hint="eastAsia"/>
          <w:b w:val="0"/>
          <w:bCs w:val="0"/>
          <w:lang w:val="en-US" w:eastAsia="zh-CN"/>
        </w:rPr>
        <w:t>中实现打包工具的初始化代码，包括资源表的适配和打包工具的配置。例如：</w:t>
      </w:r>
      <w:bookmarkStart w:id="14" w:name="_GoBack"/>
      <w:bookmarkEnd w:id="14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986915"/>
            <wp:effectExtent l="0" t="0" r="6350" b="133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4" w:name="_Toc20675"/>
      <w:r>
        <w:rPr>
          <w:rFonts w:hint="eastAsia"/>
          <w:lang w:val="en-US" w:eastAsia="zh-CN"/>
        </w:rPr>
        <w:t>接入运行时代码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游戏初始化时，需要先加载资源表，再初始化资源管理器。然后在场景开始的时候，调用</w:t>
      </w:r>
      <w:r>
        <w:rPr>
          <w:rFonts w:hint="eastAsia"/>
          <w:b/>
          <w:bCs/>
          <w:lang w:val="en-US" w:eastAsia="zh-CN"/>
        </w:rPr>
        <w:t>AssetManager.Instance.DoStartScene()</w:t>
      </w:r>
      <w:r>
        <w:rPr>
          <w:rFonts w:hint="eastAsia"/>
          <w:b w:val="0"/>
          <w:bCs w:val="0"/>
          <w:lang w:val="en-US" w:eastAsia="zh-CN"/>
        </w:rPr>
        <w:t>，初始化对象缓冲池；在场景切换的时候，调用</w:t>
      </w:r>
      <w:r>
        <w:rPr>
          <w:rFonts w:hint="eastAsia"/>
          <w:b/>
          <w:bCs/>
          <w:lang w:val="en-US" w:eastAsia="zh-CN"/>
        </w:rPr>
        <w:t>AssetManager.Instance.DoExitScene()</w:t>
      </w:r>
      <w:r>
        <w:rPr>
          <w:rFonts w:hint="eastAsia"/>
          <w:b w:val="0"/>
          <w:bCs w:val="0"/>
          <w:lang w:val="en-US" w:eastAsia="zh-CN"/>
        </w:rPr>
        <w:t>，回收缓冲池资源。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038350"/>
            <wp:effectExtent l="0" t="0" r="508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5" w:name="_Toc6421"/>
      <w:r>
        <w:rPr>
          <w:rStyle w:val="10"/>
          <w:rFonts w:hint="eastAsia"/>
          <w:lang w:val="en-US" w:eastAsia="zh-CN"/>
        </w:rPr>
        <w:t>使用打包工具</w:t>
      </w:r>
    </w:p>
    <w:bookmarkEnd w:id="5"/>
    <w:p>
      <w:pPr>
        <w:pStyle w:val="3"/>
        <w:rPr>
          <w:rFonts w:hint="eastAsia"/>
          <w:lang w:val="en-US" w:eastAsia="zh-CN"/>
        </w:rPr>
      </w:pPr>
      <w:bookmarkStart w:id="6" w:name="_Toc15947"/>
      <w:r>
        <w:rPr>
          <w:rFonts w:hint="eastAsia"/>
          <w:lang w:val="en-US" w:eastAsia="zh-CN"/>
        </w:rPr>
        <w:t>代码目录</w:t>
      </w:r>
      <w:bookmarkEnd w:id="6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540510"/>
            <wp:effectExtent l="0" t="0" r="571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目录说明：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Configs</w:t>
      </w:r>
      <w:r>
        <w:rPr>
          <w:rFonts w:hint="eastAsia"/>
          <w:lang w:val="en-US" w:eastAsia="zh-CN"/>
        </w:rPr>
        <w:t>：存放打包工具的一些配置文件，包括打包工具自身的配置参数和固定包配置信息，调整打包配置后需要保存上传这部分配置到svn。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Core</w:t>
      </w:r>
      <w:r>
        <w:rPr>
          <w:rFonts w:hint="eastAsia"/>
          <w:lang w:val="en-US" w:eastAsia="zh-CN"/>
        </w:rPr>
        <w:t>：打包工具的核心代码，平台部维护，项目组不得修改。可以使用外链的方式从平台部svn获取。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</w:t>
      </w:r>
      <w:r>
        <w:rPr>
          <w:rFonts w:hint="eastAsia"/>
          <w:lang w:val="en-US" w:eastAsia="zh-CN"/>
        </w:rPr>
        <w:t>：打包操作生成的记录文件，包括BundleTable、DepBundleTable、和missing_file_record等。其中BundleTable会复制到AssetBundles文件夹，一起打进应用包体内。其它文件保存在这里用于查询打包信息。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AssetBundleBuilderInitializer</w:t>
      </w:r>
      <w:r>
        <w:rPr>
          <w:rFonts w:hint="eastAsia"/>
          <w:lang w:val="en-US" w:eastAsia="zh-CN"/>
        </w:rPr>
        <w:t>：打包工具初始化脚本，默认在此处加载资源表和初始话打包工具，项目可根据项目实际需求在这里调整初始化的配置。比如根据setup.xml的配置切换大小包等。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BuildTools</w:t>
      </w:r>
      <w:r>
        <w:rPr>
          <w:rFonts w:hint="eastAsia"/>
          <w:lang w:val="en-US" w:eastAsia="zh-CN"/>
        </w:rPr>
        <w:t>：注册打包过程中各个方法，为打包编辑器和云构建提供各种打包接口。默认包含：分析AB依赖、打包AB、导入AB、打包数据、最终出包五个步骤，项目组可根据需要在这个类中添加和注册新的打包步骤。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7" w:name="_Toc3034"/>
      <w:r>
        <w:rPr>
          <w:rFonts w:hint="eastAsia"/>
          <w:lang w:val="en-US" w:eastAsia="zh-CN"/>
        </w:rPr>
        <w:t>编辑器界面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通过点击GStore/Build/AssetBundleBuilder，可以打开打包工具的编辑器界面。</w:t>
      </w:r>
    </w:p>
    <w:p/>
    <w:p>
      <w:pPr>
        <w:pStyle w:val="4"/>
        <w:rPr>
          <w:rFonts w:hint="eastAsia"/>
          <w:lang w:eastAsia="zh-CN"/>
        </w:rPr>
      </w:pPr>
      <w:bookmarkStart w:id="8" w:name="_Toc1161"/>
      <w:r>
        <w:rPr>
          <w:rFonts w:hint="eastAsia"/>
          <w:lang w:eastAsia="zh-CN"/>
        </w:rPr>
        <w:t>打包配置界面</w:t>
      </w:r>
      <w:bookmarkEnd w:id="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303270"/>
            <wp:effectExtent l="0" t="0" r="825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目前只支持修改</w:t>
      </w:r>
      <w:r>
        <w:rPr>
          <w:rFonts w:hint="eastAsia"/>
          <w:lang w:val="en-US" w:eastAsia="zh-CN"/>
        </w:rPr>
        <w:t>AB</w:t>
      </w:r>
      <w:r>
        <w:rPr>
          <w:rFonts w:hint="eastAsia"/>
          <w:lang w:eastAsia="zh-CN"/>
        </w:rPr>
        <w:t>输出路径和</w:t>
      </w:r>
      <w:r>
        <w:rPr>
          <w:rFonts w:hint="eastAsia"/>
          <w:lang w:val="en-US" w:eastAsia="zh-CN"/>
        </w:rPr>
        <w:t>AB后缀。下方操作区域可直接执行单步操作，或勾选需要的步骤依次执行。通过此界面可以完成所有的打包相关操作。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27544"/>
      <w:r>
        <w:rPr>
          <w:rFonts w:hint="eastAsia"/>
          <w:lang w:val="en-US" w:eastAsia="zh-CN"/>
        </w:rPr>
        <w:t>固定包配置界面</w:t>
      </w:r>
      <w:bookmarkEnd w:id="9"/>
    </w:p>
    <w:p>
      <w:r>
        <w:drawing>
          <wp:inline distT="0" distB="0" distL="114300" distR="114300">
            <wp:extent cx="5271135" cy="3088640"/>
            <wp:effectExtent l="0" t="0" r="571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通过在Project窗口选中Res下的子目录，点击“+”号，则可将该目录加入固定包列表。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点击对应条目的“-”号，则将该目录移出固定包列表。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勾选分散打包，则目录下的资源按文件数量单独打包，否则合成同一个AB包。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若固定包配置的目录在项目中已移除，编辑器列表则标红显示，表示改目录已丢失，该条配置自动忽略不生效，若项目确定不再需要该目录，则应删除该条配置。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固定包可用于将没有assetId索引的资源加入打包列表，通过路径加载。合并打包时可用增大AB粒度，并且在发布AB后仍支持LoadAllAsset接口。通常使用合并打包。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9092"/>
      <w:r>
        <w:rPr>
          <w:rFonts w:hint="eastAsia"/>
          <w:lang w:val="en-US" w:eastAsia="zh-CN"/>
        </w:rPr>
        <w:t>AB检查窗口</w:t>
      </w:r>
      <w:bookmarkEnd w:id="10"/>
    </w:p>
    <w:p>
      <w:r>
        <w:drawing>
          <wp:inline distT="0" distB="0" distL="114300" distR="114300">
            <wp:extent cx="5268595" cy="3519170"/>
            <wp:effectExtent l="0" t="0" r="825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此工具主要用于浏览分析</w:t>
      </w:r>
      <w:r>
        <w:rPr>
          <w:rFonts w:hint="eastAsia"/>
          <w:lang w:val="en-US" w:eastAsia="zh-CN"/>
        </w:rPr>
        <w:t>AB包的冗余情况。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点击AssetBundle检查按钮，浏览到要检查的AssetBundle目录，确定后开始分析该目录的所有AssetBundle，并在目录下生成检查报告。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生成报告后会自动打开报告，或者通过点击读入报告可以打包之前生成的旧报告。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打开报告后有三个视图，冗余资源、所有资源和所有AB的浏览界面。选中展开后可以看到详细信息以及和AB之间的关系。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1" w:name="_Toc21288"/>
      <w:r>
        <w:rPr>
          <w:rFonts w:hint="eastAsia"/>
          <w:lang w:val="en-US" w:eastAsia="zh-CN"/>
        </w:rPr>
        <w:t>使用AssetManager资源管理器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8690"/>
      <w:r>
        <w:rPr>
          <w:rFonts w:hint="eastAsia"/>
          <w:lang w:val="en-US" w:eastAsia="zh-CN"/>
        </w:rPr>
        <w:t>代码目录</w:t>
      </w:r>
      <w:bookmarkEnd w:id="12"/>
    </w:p>
    <w:p>
      <w:r>
        <w:drawing>
          <wp:inline distT="0" distB="0" distL="114300" distR="114300">
            <wp:extent cx="3837940" cy="19812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AssetBundleManager</w:t>
      </w:r>
      <w:r>
        <w:rPr>
          <w:rFonts w:hint="eastAsia"/>
          <w:lang w:val="en-US" w:eastAsia="zh-CN"/>
        </w:rPr>
        <w:t>：AssetBundle管理器的相关代码。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Interface</w:t>
      </w:r>
      <w:r>
        <w:rPr>
          <w:rFonts w:hint="eastAsia"/>
          <w:lang w:val="en-US" w:eastAsia="zh-CN"/>
        </w:rPr>
        <w:t>：接口定义。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Utils</w:t>
      </w:r>
      <w:r>
        <w:rPr>
          <w:rFonts w:hint="eastAsia"/>
          <w:lang w:val="en-US" w:eastAsia="zh-CN"/>
        </w:rPr>
        <w:t>：工具代码和一些辅助类。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AssetManager：提供资源管理器对外统一的加载、缓存、实例化接口。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AssetDatabaseManager：编辑器下从AssetDatabase加载资源的实现。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ResourceManager：对Resources.Load接口的封装管理。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PoolManager：GameObject对象池的实现和管理。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AssetPathDefine：一些资源相关的路径定义。</w:t>
      </w:r>
    </w:p>
    <w:p>
      <w:pPr>
        <w:pStyle w:val="3"/>
        <w:rPr>
          <w:rFonts w:hint="eastAsia"/>
          <w:lang w:val="en-US" w:eastAsia="zh-CN"/>
        </w:rPr>
      </w:pPr>
      <w:bookmarkStart w:id="13" w:name="_Toc12447"/>
      <w:r>
        <w:rPr>
          <w:rFonts w:hint="eastAsia"/>
          <w:lang w:val="en-US" w:eastAsia="zh-CN"/>
        </w:rPr>
        <w:t>API接口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目前参考Example.cs中的示例代码，API文档待整理。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E2684"/>
    <w:multiLevelType w:val="singleLevel"/>
    <w:tmpl w:val="958E26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FB4F95"/>
    <w:multiLevelType w:val="singleLevel"/>
    <w:tmpl w:val="68FB4F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74E32"/>
    <w:rsid w:val="064870B4"/>
    <w:rsid w:val="11705648"/>
    <w:rsid w:val="1DE537F7"/>
    <w:rsid w:val="23693307"/>
    <w:rsid w:val="30580277"/>
    <w:rsid w:val="33C13108"/>
    <w:rsid w:val="351F4AD6"/>
    <w:rsid w:val="3F6E3878"/>
    <w:rsid w:val="42983E85"/>
    <w:rsid w:val="4E2509AB"/>
    <w:rsid w:val="5C8A3A0C"/>
    <w:rsid w:val="644316A6"/>
    <w:rsid w:val="70F54E82"/>
    <w:rsid w:val="77FA68F7"/>
    <w:rsid w:val="79FB4908"/>
    <w:rsid w:val="7A4876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向着阳光的小葱</cp:lastModifiedBy>
  <dcterms:modified xsi:type="dcterms:W3CDTF">2018-06-12T02:19:21Z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