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numId w:val="0"/>
        </w:numPr>
      </w:pPr>
      <w:r>
        <w:drawing>
          <wp:inline distT="0" distB="0" distL="114300" distR="114300">
            <wp:extent cx="5269865" cy="20256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highlight w:val="yellow"/>
          <w:lang w:val="en-US" w:eastAsia="zh-TW"/>
        </w:rPr>
      </w:pPr>
      <w:r>
        <w:rPr>
          <w:rFonts w:hint="eastAsia"/>
          <w:highlight w:val="yellow"/>
          <w:lang w:val="en-US" w:eastAsia="zh-TW"/>
        </w:rPr>
        <w:t>滾動式串流,選較鮮明圖片,注意版權. 可以加上温韾提示,如注意投資風險,唯一官網等等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TW"/>
        </w:rPr>
      </w:pPr>
    </w:p>
    <w:p/>
    <w:p>
      <w:bookmarkStart w:id="0" w:name="_GoBack"/>
      <w:r>
        <w:drawing>
          <wp:inline distT="0" distB="0" distL="114300" distR="114300">
            <wp:extent cx="4917440" cy="3274695"/>
            <wp:effectExtent l="0" t="0" r="165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可參考以下八大項目</w:t>
      </w:r>
    </w:p>
    <w:p>
      <w:pPr>
        <w:numPr>
          <w:numId w:val="0"/>
        </w:numPr>
        <w:ind w:leftChars="0"/>
        <w:rPr>
          <w:rFonts w:hint="default" w:eastAsia="PMingLiU"/>
          <w:lang w:val="en-US" w:eastAsia="zh-TW"/>
        </w:rPr>
      </w:pP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營業廳 ----開戶流程</w:t>
      </w:r>
    </w:p>
    <w:p>
      <w:pPr>
        <w:rPr>
          <w:rFonts w:hint="default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資訊中心----最新保證金/合約到期日/假期通知</w:t>
      </w: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下載專區----交易軟件</w:t>
      </w:r>
    </w:p>
    <w:p>
      <w:pPr>
        <w:rPr>
          <w:rFonts w:hint="default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交易學堂----期貨小知識/產品介紹</w:t>
      </w: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企業責任----社會義務責任</w:t>
      </w: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關於朗潤----公司介紹,獲得獎項</w:t>
      </w:r>
    </w:p>
    <w:p>
      <w:pPr>
        <w:rPr>
          <w:rFonts w:hint="default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合作夥伴----各個交易所軟件商</w:t>
      </w: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聯絡我們----電話/地址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drawing>
          <wp:inline distT="0" distB="0" distL="114300" distR="114300">
            <wp:extent cx="5271770" cy="49841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3.首頁下方</w:t>
      </w:r>
    </w:p>
    <w:p>
      <w:pPr>
        <w:rPr>
          <w:rFonts w:hint="eastAsia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主要把八大選項的某幾個類別貼上.例如獲獎,合作方.</w:t>
      </w:r>
    </w:p>
    <w:p>
      <w:pPr>
        <w:rPr>
          <w:rFonts w:hint="default" w:eastAsia="PMingLiU"/>
          <w:highlight w:val="yellow"/>
          <w:lang w:val="en-US" w:eastAsia="zh-TW"/>
        </w:rPr>
      </w:pPr>
      <w:r>
        <w:rPr>
          <w:rFonts w:hint="eastAsia" w:eastAsia="PMingLiU"/>
          <w:highlight w:val="yellow"/>
          <w:lang w:val="en-US" w:eastAsia="zh-TW"/>
        </w:rPr>
        <w:t>最下方是聯絡方式.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64848"/>
    <w:multiLevelType w:val="singleLevel"/>
    <w:tmpl w:val="69D64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xOWJjNzNiNGU4YjcwNDZhNjY1YTNjNmU2MmNlODgifQ=="/>
  </w:docVars>
  <w:rsids>
    <w:rsidRoot w:val="03FD7CBF"/>
    <w:rsid w:val="03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2023-10-12T03:30:00Z</dcterms:created>
  <dc:creator>阿東</dc:creator>
  <cp:lastModifiedBy>阿東</cp:lastModifiedBy>
  <dcterms:modified xsi:type="dcterms:W3CDTF">2023-10-12T04:18:42Z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B67290E2F73F4975804F5D43DA6B20EF_11</vt:lpwstr>
  </property>
</Properties>
</file>