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Platform Architecture Overview - 平台架构概述</w:t>
      </w:r>
    </w:p>
    <w:p>
      <w:pPr>
        <w:pStyle w:val="Heading2"/>
      </w:pPr>
      <w:r>
        <w:t>1. Executive Summary / 概要</w:t>
      </w:r>
    </w:p>
    <w:p>
      <w:r>
        <w:t>This document describes the high-level architecture of the AcmeTech Data Platform (ADP), a unified data processing and analytics platform serving both internal and client-facing applications. The platform processes approximately 50TB of data daily with a peak throughput of 500,000 events per second.</w:t>
      </w:r>
    </w:p>
    <w:p>
      <w:r>
        <w:t>本文档描述了阿科美数据平台（ADP）的高层架构，这是一个统一的数据处理和分析平台，服务于内部和面向客户的应用。该平台每天处理约50TB数据，峰值吞吐量为每秒50万事件。</w:t>
      </w:r>
    </w:p>
    <w:p>
      <w:pPr>
        <w:pStyle w:val="Heading2"/>
      </w:pPr>
      <w:r>
        <w:t>2. Core Components / 核心组件</w:t>
      </w:r>
    </w:p>
    <w:p>
      <w:r>
        <w:t>2.1 Data Ingestion Layer: Apache Kafka 3.6 cluster with 12 brokers, handling inbound data streams from IoT devices, web applications, and third-party APIs. Messages use Avro schema with Schema Registry for versioning. Throughput: 500K msg/s sustained, 800K msg/s burst.</w:t>
      </w:r>
    </w:p>
    <w:p>
      <w:r>
        <w:t>2.2 Stream Processing: Apache Flink 1.18 for real-time stream processing with exactly-once semantics. State backend uses RocksDB with incremental checkpointing to HDFS every 60 seconds. Key use cases: real-time fraud detection (latency &lt; 100ms), session analytics, and dynamic pricing engine.</w:t>
      </w:r>
    </w:p>
    <w:p>
      <w:r>
        <w:t>2.3 Batch Processing: Apache Spark 3.5 on Kubernetes for daily ETL jobs. Jobs are scheduled via Apache Airflow 2.8 with DAG-based orchestration. Data lake storage uses MinIO (S3-compatible) with Parquet columnar format and Snappy compression.</w:t>
      </w:r>
    </w:p>
    <w:p>
      <w:r>
        <w:t>2.4 Serving Layer: StarRocks 3.2 MPP database for OLAP queries with sub-second response times. Supports materialized views, bitmap indexes, and multi-table joins. The semantic layer uses Cube.js for metric definitions and API generation.</w:t>
      </w:r>
    </w:p>
    <w:p>
      <w:pPr>
        <w:pStyle w:val="Heading2"/>
      </w:pPr>
      <w:r>
        <w:t>3. Infrastructure / 基础设施</w:t>
      </w:r>
    </w:p>
    <w:p>
      <w:r>
        <w:t>Kubernetes clusters: 3 clusters (dev, staging, production) with 50+ nodes each. Node specifications: 32 vCPU, 128GB RAM, 2TB NVMe SSD. CI/CD: GitLab CI with ArgoCD for GitOps-based deployment. Infrastructure as Code: Terraform for cloud resources, Helm for K8s applications. Disaster Recovery: RPO of 15 minutes, RTO of 2 hours with active-passive setup across two availability zones.</w:t>
      </w:r>
    </w:p>
    <w:p>
      <w:pPr>
        <w:pStyle w:val="Heading2"/>
      </w:pPr>
      <w:r>
        <w:t>4. Data Flow / 数据流</w:t>
      </w:r>
    </w:p>
    <w:p>
      <w:r>
        <w:t>The typical data flow: Source Systems to Kafka to Flink (real-time) or Spark (batch) to MinIO Data Lake to StarRocks to Cube.js to Application APIs. Data quality checks run at each stage using Great Expectations. Data lineage is tracked via Apache Atlas with automatic metadata extraction.</w:t>
      </w:r>
    </w:p>
    <w:p>
      <w:pPr>
        <w:pStyle w:val="Heading2"/>
      </w:pPr>
      <w:r>
        <w:t>5. Scaling Strategy / 扩容策略</w:t>
      </w:r>
    </w:p>
    <w:p>
      <w:r>
        <w:t>Horizontal scaling is the default approach for all components. Kafka partitions scale linearly with broker count (recommended ratio: 6 partitions per broker). Flink task slots scale with parallelism configuration. Kubernetes cluster autoscaler triggers at 70% CPU/memory utilization. Database read scaling via additional PostgreSQL replicas (up to 5 per cluster).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