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Compliance &amp; Regulatory Guide - 合规与监管指南</w:t>
      </w:r>
    </w:p>
    <w:p>
      <w:pPr>
        <w:pStyle w:val="Heading2"/>
      </w:pPr>
      <w:r>
        <w:t>1. Data Privacy Compliance / 数据隐私合规</w:t>
      </w:r>
    </w:p>
    <w:p>
      <w:r>
        <w:t>The company must comply with the Personal Information Protection Law (PIPL) of the People's Republic of China, effective November 1, 2021. All personal data collected from employees and clients must have explicit consent, clear purpose specification, and defined retention periods.</w:t>
      </w:r>
    </w:p>
    <w:p>
      <w:r>
        <w:t>根据《中华人民共和国个人信息保护法》（2021年11月1日生效），公司从员工和客户收集的所有个人数据必须获得明确同意、明确目的说明和确定的保留期限。</w:t>
      </w:r>
    </w:p>
    <w:p>
      <w:r>
        <w:t>Cross-border data transfers are subject to security assessments administered by the Cyberspace Administration of China (CAC). Any transfer of personal data outside China requires a data export safety assessment and a signed standard contract with the overseas recipient.</w:t>
      </w:r>
    </w:p>
    <w:p>
      <w:pPr>
        <w:pStyle w:val="Heading2"/>
      </w:pPr>
      <w:r>
        <w:t>2. Financial Reporting Standards / 财务报告准则</w:t>
      </w:r>
    </w:p>
    <w:p>
      <w:r>
        <w:t>Financial statements are prepared in accordance with Chinese Accounting Standards for Business Enterprises (ASBE) and International Financial Reporting Standards (IFRS). Quarterly financial reports must be submitted to the Board of Directors within 30 days of quarter end. Annual reports require external audit by a certified public accounting firm registered with the Chinese Institute of Certified Public Accountants (CICPA).</w:t>
      </w:r>
    </w:p>
    <w:p>
      <w:pPr>
        <w:pStyle w:val="Heading2"/>
      </w:pPr>
      <w:r>
        <w:t>3. Export Control / 出口管制</w:t>
      </w:r>
    </w:p>
    <w:p>
      <w:r>
        <w:t>Software products and technical data exported from China must comply with the Export Control Law of the PRC (effective December 1, 2020) and the dual-use items export control list. Products classified as controlled items require an export license issued by the Ministry of Commerce (MOFCOM). Encryption software with key lengths exceeding 256 bits requires additional review by the State Cryptography Administration.</w:t>
      </w:r>
    </w:p>
    <w:p>
      <w:pPr>
        <w:pStyle w:val="Heading2"/>
      </w:pPr>
      <w:r>
        <w:t>4. Intellectual Property / 知识产权</w:t>
      </w:r>
    </w:p>
    <w:p>
      <w:r>
        <w:t>All inventions, software code, designs, and technical documentation created by employees during their employment are the intellectual property of AcmeTech Solutions. Patent applications must be filed through the company's IP department. Open-source software usage must be approved by the Architecture Review Board to ensure license compatibility with company products.</w:t>
      </w:r>
    </w:p>
    <w:p>
      <w:pPr>
        <w:pStyle w:val="Heading2"/>
      </w:pPr>
      <w:r>
        <w:t>5. Anti-Bribery and Anti-Corruption / 反贿赂反腐败</w:t>
      </w:r>
    </w:p>
    <w:p>
      <w:r>
        <w:t>The company maintains a zero-tolerance policy toward bribery and corruption. Gifts to or from business partners valued over 200 RMB must be declared to the compliance department. Facilitation payments are prohibited regardless of local business customs.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