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Employee Handbook - 员工手册</w:t>
      </w:r>
    </w:p>
    <w:p>
      <w:pPr>
        <w:pStyle w:val="Heading2"/>
      </w:pPr>
      <w:r>
        <w:t>1. Company Overview / 公司概况</w:t>
      </w:r>
    </w:p>
    <w:p>
      <w:r>
        <w:t>AcmeTech Solutions is a technology consulting firm established in 2018, headquartered in Shanghai with branch offices in Beijing, Shenzhen, and Singapore. The company specializes in enterprise digital transformation, cloud infrastructure, and AI-powered business intelligence solutions. As of 2025, AcmeTech employs over 1,200 professionals across all locations.</w:t>
      </w:r>
    </w:p>
    <w:p>
      <w:r>
        <w:t>阿科美科技解决方案公司成立于2018年，总部位于上海，在北京、深圳和新加坡设有分支机构。公司专注于企业数字化转型、云基础设施和AI驱动的商业智能解决方案。截至2025年，阿科美科技在全球拥有超过1,200名员工。</w:t>
      </w:r>
    </w:p>
    <w:p>
      <w:pPr>
        <w:pStyle w:val="Heading2"/>
      </w:pPr>
      <w:r>
        <w:t>2. Leave Policy / 休假政策</w:t>
      </w:r>
    </w:p>
    <w:p>
      <w:r>
        <w:t>Annual Leave: Full-time employees are entitled to 15 working days of paid annual leave per calendar year. Leave accrues at a rate of 1.25 days per month. Unused leave up to 5 days may be carried over to the next year with manager approval. Leave requests must be submitted via the HR portal at least 5 working days in advance.</w:t>
      </w:r>
    </w:p>
    <w:p>
      <w:r>
        <w:t>Sick Leave: Employees are entitled to 12 days of paid sick leave per year. A medical certificate is required for absences exceeding 2 consecutive days. Unused sick leave does not carry over to the following year.</w:t>
      </w:r>
    </w:p>
    <w:p>
      <w:r>
        <w:t>年假：全职员工每个日历年享有15个工作日的带薪年假，按每月1.25天累计。经经理批准，最多5天未使用的年假可结转至下一年度。请假申请须提前至少5个工作日通过HR系统提交。</w:t>
      </w:r>
    </w:p>
    <w:p>
      <w:pPr>
        <w:pStyle w:val="Heading2"/>
      </w:pPr>
      <w:r>
        <w:t>3. Remote Work Policy / 远程办公政策</w:t>
      </w:r>
    </w:p>
    <w:p>
      <w:r>
        <w:t>Employees may work remotely up to 3 days per week with manager approval. Core working hours are 10:00 AM to 4:00 PM Beijing Time (UTC+8), during which all employees must be available for meetings and collaboration. Remote work outside the employee's registered city of residence requires written approval from the department head. A one-time home office stipend of 3,000 RMB is provided for equipment purchases.</w:t>
      </w:r>
    </w:p>
    <w:p>
      <w:r>
        <w:t>员工经经理批准后每周最多可远程办公3天。核心工作时间为北京时间10:00至16:00，在此期间所有员工须保持可联络状态。在注册居住城市以外的远程办公需要部门负责人书面批准。公司提供一次性3,000元人民币的家庭办公设备补贴。</w:t>
      </w:r>
    </w:p>
    <w:p>
      <w:pPr>
        <w:pStyle w:val="Heading2"/>
      </w:pPr>
      <w:r>
        <w:t>4. Compensation &amp; Benefits / 薪酬福利</w:t>
      </w:r>
    </w:p>
    <w:p>
      <w:r>
        <w:t>Salary Structure: Compensation consists of base salary (12 months), performance bonus (up to 3 months of base salary, paid annually in March), and statutory social insurance. The company provides supplementary commercial health insurance covering outpatient, inpatient, and dental care. The annual performance review cycle runs from January to December, with salary adjustments effective from April 1st.</w:t>
      </w:r>
    </w:p>
    <w:p>
      <w:r>
        <w:t>薪酬结构：薪酬由基本工资（12个月）、绩效奖金（最高3个月基本工资，每年3月发放）和法定社会保险组成。公司提供补充商业健康保险，涵盖门诊、住院和牙科。年度绩效考核周期为1月至12月，薪资调整自每年4月1日起生效。</w:t>
      </w:r>
    </w:p>
    <w:p>
      <w:pPr>
        <w:pStyle w:val="Heading2"/>
      </w:pPr>
      <w:r>
        <w:t>5. Code of Conduct / 行为准则</w:t>
      </w:r>
    </w:p>
    <w:p>
      <w:r>
        <w:t>All employees must adhere to the company's code of conduct: maintain confidentiality of client and company information, avoid conflicts of interest, report any suspected ethical violations to the compliance hotline (hotline@acmetech.com), and treat all colleagues with respect and professionalism. Violations may result in disciplinary action up to and including termination.</w:t>
      </w:r>
    </w:p>
    <w:p>
      <w:pPr>
        <w:pStyle w:val="Heading2"/>
      </w:pPr>
      <w:r>
        <w:t>6. Data Security Policy / 数据安全政策</w:t>
      </w:r>
    </w:p>
    <w:p>
      <w:r>
        <w:t>Employees must use company-approved devices and software for work purposes. Client data classified as Level 3 (Confidential) or higher must be stored exclusively on company servers and accessed only through the corporate VPN. Data classified as PII must be encrypted both at rest and in transit using AES-256. Password policies require a minimum of 12 characters with at least one uppercase letter, one lowercase letter, one digit, and one special character. Passwords must be changed every 90 days. Multi-factor authentication (MFA) is mandatory for all systems containing sensitive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