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Specifications - 技术规范</w:t>
      </w:r>
    </w:p>
    <w:p>
      <w:pPr>
        <w:pStyle w:val="Heading2"/>
      </w:pPr>
      <w:r>
        <w:t>1. System Architecture Requirements / 系统架构要求</w:t>
      </w:r>
    </w:p>
    <w:p>
      <w:r>
        <w:t>All production systems must follow a microservices architecture with the following characteristics: each service must be independently deployable, communicate via RESTful APIs or gRPC, use containerized deployment (Docker), and be orchestrated via Kubernetes (K8s) version 1.28 or later. Service discovery is managed through Consul or Kubernetes-native DNS. API gateways must use Kong or APISIX for rate limiting, authentication, and request routing.</w:t>
      </w:r>
    </w:p>
    <w:p>
      <w:r>
        <w:t>所有生产系统必须遵循微服务架构：每个服务必须可独立部署，通过RESTful API或gRPC通信，使用容器化部署（Docker），并通过Kubernetes 1.28以上版本编排。服务发现通过Consul或Kubernetes原生DNS管理。API网关须使用Kong或APISIX进行限流、认证和路由。</w:t>
      </w:r>
    </w:p>
    <w:p>
      <w:pPr>
        <w:pStyle w:val="Heading2"/>
      </w:pPr>
      <w:r>
        <w:t>2. Database Standards / 数据库标准</w:t>
      </w:r>
    </w:p>
    <w:p>
      <w:r>
        <w:t>PostgreSQL 15+ is the standard relational database. Connection pooling must use PgBouncer with transaction-level pooling mode. Read replicas are required for production databases with expected query volumes exceeding 1,000 QPS. Redis 7+ is the standard caching layer with a maximum key size of 1MB and default TTL of 3600 seconds unless otherwise specified. MongoDB 7+ may be used for document-oriented storage with approval from the Data Architecture team.</w:t>
      </w:r>
    </w:p>
    <w:p>
      <w:pPr>
        <w:pStyle w:val="Heading2"/>
      </w:pPr>
      <w:r>
        <w:t>3. API Design Standards / API设计标准</w:t>
      </w:r>
    </w:p>
    <w:p>
      <w:r>
        <w:t>RESTful APIs must follow OpenAPI 3.0 specification. URL patterns use kebab-case. HTTP status codes: 200 (success), 201 (created), 400 (bad request), 401 (unauthorized), 403 (forbidden), 404 (not found), 422 (validation error), 500 (internal server error). All endpoints must support pagination using cursor-based pagination. API versioning is URI-based (/api/v1/, /api/v2/). Deprecated API versions must be supported for a minimum of 6 months after deprecation announcement.</w:t>
      </w:r>
    </w:p>
    <w:p>
      <w:pPr>
        <w:pStyle w:val="Heading2"/>
      </w:pPr>
      <w:r>
        <w:t>4. Security Standards / 安全标准</w:t>
      </w:r>
    </w:p>
    <w:p>
      <w:r>
        <w:t>Authentication: OAuth 2.0 with JWT access tokens (RS256 algorithm, 15-minute expiry) and refresh tokens (7-day expiry, one-time use with rotation). All API traffic must use TLS 1.3 minimum. SQL injection prevention: all database queries must use parameterized queries. XSS prevention: output encoding via Content-Security-Policy headers. CSRF protection: SameSite=Strict cookies with CSRF token validation. Rate limiting: 100 requests per minute per user for general endpoints, 1000 requests per minute for authenticated internal services.</w:t>
      </w:r>
    </w:p>
    <w:p>
      <w:pPr>
        <w:pStyle w:val="Heading2"/>
      </w:pPr>
      <w:r>
        <w:t>5. Monitoring &amp; Observability / 监控与可观测性</w:t>
      </w:r>
    </w:p>
    <w:p>
      <w:r>
        <w:t>All services must expose metrics in Prometheus format on /metrics endpoint. Standard metrics include: request latency (p50, p90, p99), error rate, request rate, and resource utilization. Distributed tracing uses OpenTelemetry with trace propagation via W3C Trace Context headers. Centralized logging uses the ELK stack (Elasticsearch, Logstash, Kibana) with structured JSON log format.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