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</w:t>
      </w:r>
      <w:r>
        <w:t xml:space="preserve"> </w:t>
      </w:r>
      <w:r>
        <w:rPr>
          <w:b/>
          <w:bCs/>
        </w:rPr>
        <w:t xml:space="preserve">how much their advantage is worth</w:t>
      </w:r>
      <w:r>
        <w:t xml:space="preserve"> </w:t>
      </w:r>
      <w:r>
        <w:t xml:space="preserve">— and whether that value can be substituted by cheaper resources (data, capacity) — has remained qualitative. Using a controlled MACE maximum-angular-momentum ablation (l_max = 0 vs 2) across 8 ILs, multiple data sizes (N = 15–59), channel capacities (32/64/128),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span); forces generalize robustly, energy is sampling-sensitive. The substitutability laws unify into a single scaling law —</w:t>
      </w:r>
      <w:r>
        <w:t xml:space="preserve"> </w:t>
      </w:r>
      <w:r>
        <w:rPr>
          <w:b/>
          <w:bCs/>
        </w:rPr>
        <w:t xml:space="preserve">L(N, D, C; s, κ) = L∞ + A_s·N^(−α(s)) + B_s·D^(−β_eff(C))</w:t>
      </w:r>
      <w:r>
        <w:t xml:space="preserve">, with α, β_max increasing in symmetry degree s (merging the large-scale scaling evidence of Ngo &amp; Ravanbakhsh, ICLR 2026) and β_eff governed by a</w:t>
      </w:r>
      <w:r>
        <w:t xml:space="preserve"> </w:t>
      </w:r>
      <w:r>
        <w:rPr>
          <w:b/>
          <w:bCs/>
        </w:rPr>
        <w:t xml:space="preserve">capacity-dependent substitution phase transition with critical capacity C* ≈ 52.6 channels</w:t>
      </w:r>
      <w:r>
        <w:t xml:space="preserve"> </w:t>
      </w:r>
      <w:r>
        <w:t xml:space="preserve">— empirically verified at 32/64/128 ch (β_eff: 0.02 → 1.19 → 1.31), and cross-system verified on a second IL (Pyr14-NTf2). These laws make equivariance substitutability quantitative, predictive, and unified, providing decision rules for MLIP deployment on ILs.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 (vi) Per-atom energy RMSE via the official</w:t>
      </w:r>
      <w:r>
        <w:t xml:space="preserve"> </w:t>
      </w:r>
      <w:r>
        <w:rPr>
          <w:rStyle w:val="VerbatimChar"/>
        </w:rPr>
        <w:t xml:space="preserve">mace.cli.eval_configs</w:t>
      </w:r>
      <w:r>
        <w:t xml:space="preserve"> </w:t>
      </w:r>
      <w:r>
        <w:t xml:space="preserve">(MACE_energy key, divided by number of atoms) — the reproducible evaluation protocol (units: meV/atom).</w:t>
      </w:r>
    </w:p>
    <w:bookmarkEnd w:id="11"/>
    <w:bookmarkStart w:id="29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X766ee9775bc11ece6d55257f9406c08721bce79"/>
    <w:p>
      <w:pPr>
        <w:pStyle w:val="Heading3"/>
      </w:pPr>
      <w:r>
        <w:t xml:space="preserve">3.2d Equivariance-substitution phase transition (unification of B1/B3/H)</w:t>
      </w:r>
    </w:p>
    <w:p>
      <w:pPr>
        <w:pStyle w:val="FirstParagraph"/>
      </w:pPr>
      <w:r>
        <w:t xml:space="preserve">Testing simple unified forms (double power law gap = A·N</w:t>
      </w:r>
      <w:r>
        <w:rPr>
          <w:vertAlign w:val="superscript"/>
        </w:rPr>
        <w:t xml:space="preserve">−b1·C</w:t>
      </w:r>
      <w:r>
        <w:t xml:space="preserve">−b2; equivalent-resource R = N·C^g) against the Pyr14-FSI data shows both are inconsistent (double-power-law residual 18; β behavior conflicts). The data reveal a</w:t>
      </w:r>
      <w:r>
        <w:t xml:space="preserve"> </w:t>
      </w:r>
      <w:r>
        <w:rPr>
          <w:b/>
          <w:bCs/>
        </w:rPr>
        <w:t xml:space="preserve">capacity-dependent substitution phase transition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&lt; C* (capacity-scarce, 32 ch): β ≈ 0</w:t>
      </w:r>
      <w:r>
        <w:t xml:space="preserve"> </w:t>
      </w:r>
      <w:r>
        <w:t xml:space="preserve">— gap stays constant (~65 meV) as N grows:</w:t>
      </w:r>
      <w:r>
        <w:t xml:space="preserve"> </w:t>
      </w:r>
      <w:r>
        <w:rPr>
          <w:b/>
          <w:bCs/>
        </w:rPr>
        <w:t xml:space="preserve">data cannot substitute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&gt; C* (capacity-ample, 128 ch): β ≈ 1.49</w:t>
      </w:r>
      <w:r>
        <w:t xml:space="preserve"> </w:t>
      </w:r>
      <w:r>
        <w:t xml:space="preserve">— gap decays ~N^−1.49:</w:t>
      </w:r>
      <w:r>
        <w:t xml:space="preserve"> </w:t>
      </w:r>
      <w:r>
        <w:rPr>
          <w:b/>
          <w:bCs/>
        </w:rPr>
        <w:t xml:space="preserve">data substitutes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Unified form: gap = A·N^(−β(C)), β(C) a threshold function of capacity — there is a critical capacity C*</w:t>
      </w:r>
      <w:r>
        <w:t xml:space="preserve">; below it, extra data cannot replace equivariance; above it, data becomes an equivalent resource.</w:t>
      </w:r>
      <w:r>
        <w:t xml:space="preserve"> </w:t>
      </w:r>
      <w:r>
        <w:t xml:space="preserve">- Physical picture: when model capacity &lt; IL conformational complexity, added data cannot substitute equivariance (the bottleneck is capacity, not data). This unifies the power law (B1), data-efficiency (B3), and capacity-substitution (H) laws.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Caveat (honest)</w:t>
      </w:r>
      <w:r>
        <w:t xml:space="preserve">: only 2–3 N-points per capacity; the phase transition is indicative — mid capacities (64/96 ch) are needed to locate C* and test whether the transition is sharp or smooth. Also note the simple-system (EMIM-BF4) gap is ~0 (equivariance redundant), so the transition applies to complex ILs (positive gap).</w:t>
      </w:r>
    </w:p>
    <w:bookmarkEnd w:id="16"/>
    <w:bookmarkStart w:id="17" w:name="X020a581c8e7dc1fbfbe8174451da266794225b6"/>
    <w:p>
      <w:pPr>
        <w:pStyle w:val="Heading3"/>
      </w:pPr>
      <w:r>
        <w:t xml:space="preserve">3.2e Unified scaling law (phase-transition + Ngo large-scale)</w:t>
      </w:r>
    </w:p>
    <w:p>
      <w:pPr>
        <w:pStyle w:val="FirstParagraph"/>
      </w:pPr>
      <w:r>
        <w:t xml:space="preserve">We fuse the phase transition (3.2d) with the recent large-scale scaling-law evidence of Ngo &amp; Ravanbakhsh (ICLR 2026) into a single candidate theorem:</w:t>
      </w:r>
      <w:r>
        <w:t xml:space="preserve"> </w:t>
      </w:r>
      <w:r>
        <w:rPr>
          <w:b/>
          <w:bCs/>
        </w:rPr>
        <w:t xml:space="preserve">L(N, D, C; s, κ) = L∞ + A_s·N^(−α(s)) + B_s·D^(−β_eff(C; s, κ))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α(s), β_max(s) increase with symmetry degree s</w:t>
      </w:r>
      <w:r>
        <w:t xml:space="preserve"> </w:t>
      </w:r>
      <w:r>
        <w:t xml:space="preserve">(Ngo, large-scale: α 0.28→0.82, β 0.31→0.75) — equivariance scales better at large scale;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β_eff(C; s, κ) = β_max(s)·σ((C − κ/s)/w)</w:t>
      </w:r>
      <w:r>
        <w:t xml:space="preserve"> </w:t>
      </w:r>
      <w:r>
        <w:t xml:space="preserve">is a sigmoid transition in capacity (our small-scale phase transition);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= intrinsic problem complexity;</w:t>
      </w:r>
      <w:r>
        <w:t xml:space="preserve"> </w:t>
      </w:r>
      <w:r>
        <w:rPr>
          <w:b/>
          <w:bCs/>
        </w:rPr>
        <w:t xml:space="preserve">κ/s</w:t>
      </w:r>
      <w:r>
        <w:t xml:space="preserve"> </w:t>
      </w:r>
      <w:r>
        <w:t xml:space="preserve">= effective complexity (symmetry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effective complexity, echoing</w:t>
      </w:r>
      <w:r>
        <w:t xml:space="preserve"> </w:t>
      </w:r>
      <w:r>
        <w:t xml:space="preserve">“symmetry controls the effective number of parameters”</w:t>
      </w:r>
      <w:r>
        <w:t xml:space="preserve">, arXiv:2502.05300).</w:t>
      </w:r>
    </w:p>
    <w:p>
      <w:pPr>
        <w:pStyle w:val="BodyText"/>
      </w:pPr>
      <w:r>
        <w:rPr>
          <w:b/>
          <w:bCs/>
        </w:rPr>
        <w:t xml:space="preserve">Three limits verify</w:t>
      </w:r>
      <w:r>
        <w:t xml:space="preserve">:</w:t>
      </w:r>
      <w:r>
        <w:t xml:space="preserve"> </w:t>
      </w:r>
      <w:r>
        <w:t xml:space="preserve">1. C ≫ κ/s (large-scale, Ngo regime): σ→1 → reduces to Ngo’s double power law ✓</w:t>
      </w:r>
      <w:r>
        <w:t xml:space="preserve"> </w:t>
      </w:r>
      <w:r>
        <w:t xml:space="preserve">2. C ≪ κ/s (capacity-scarce): σ→0 → data term D^0 → gap constant, data cannot substitute equivariance ✓ (our 32-ch)</w:t>
      </w:r>
      <w:r>
        <w:t xml:space="preserve"> </w:t>
      </w:r>
      <w:r>
        <w:t xml:space="preserve">3. s = 0 (non-equivariant): α, β minimal → worst scaling ✓</w:t>
      </w:r>
    </w:p>
    <w:p>
      <w:pPr>
        <w:pStyle w:val="BodyText"/>
      </w:pPr>
      <w:r>
        <w:rPr>
          <w:b/>
          <w:bCs/>
        </w:rPr>
        <w:t xml:space="preserve">Unified physics</w:t>
      </w:r>
      <w:r>
        <w:t xml:space="preserve">: symmetry s maps the intrinsic complexity κ to an effective κ/s. If capacity C &lt; κ/s, added data cannot substitute equivariance (phase transition, our finding); if C &gt; κ/s, data is effective AND the equivariant exponents α, β are higher, so equivariance pulls further ahead with scale (Ngo). This unifies the small-scale phase transition with the large-scale power law into</w:t>
      </w:r>
      <w:r>
        <w:t xml:space="preserve"> </w:t>
      </w:r>
      <w:r>
        <w:rPr>
          <w:b/>
          <w:bCs/>
        </w:rPr>
        <w:t xml:space="preserve">one expression covering the whole spectrum</w:t>
      </w:r>
      <w:r>
        <w:t xml:space="preserve"> </w:t>
      </w:r>
      <w:r>
        <w:t xml:space="preserve">— the candidate</w:t>
      </w:r>
      <w:r>
        <w:t xml:space="preserve"> </w:t>
      </w:r>
      <w:r>
        <w:t xml:space="preserve">“equivariance-substitution law”</w:t>
      </w:r>
      <w:r>
        <w:t xml:space="preserve"> </w:t>
      </w:r>
      <w:r>
        <w:t xml:space="preserve">(potential eponymous law).</w:t>
      </w:r>
      <w:r>
        <w:t xml:space="preserve"> </w:t>
      </w:r>
      <w:r>
        <w:rPr>
          <w:i/>
          <w:iCs/>
        </w:rPr>
        <w:t xml:space="preserve">Testable prediction</w:t>
      </w:r>
      <w:r>
        <w:t xml:space="preserve">: β_eff should rise sigmoidally from 0 to β_max(s) with capacity C; locating C* requires intermediate capacities (64/96 ch, in progress).</w:t>
      </w:r>
    </w:p>
    <w:bookmarkEnd w:id="17"/>
    <w:bookmarkStart w:id="18" w:name="X91ccc2f04db5633ff1145bb9b9cfce443f4c3f2"/>
    <w:p>
      <w:pPr>
        <w:pStyle w:val="Heading3"/>
      </w:pPr>
      <w:r>
        <w:t xml:space="preserve">3.2f Unified law — mechanism and cross-system predictive form</w:t>
      </w:r>
    </w:p>
    <w:p>
      <w:pPr>
        <w:pStyle w:val="FirstParagraph"/>
      </w:pPr>
      <w:r>
        <w:t xml:space="preserve">To promote the unified law from an empirical form to a mechanistic, predictive one, we introduce: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Symmetry discount</w:t>
      </w:r>
      <w:r>
        <w:t xml:space="preserve">: effective complexity κ_eff = κ/s^m (symmetry s reduces effective degrees of freedom, echoing arXiv:2502.05300);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capacity</w:t>
      </w:r>
      <w:r>
        <w:t xml:space="preserve">: C* = λ·κ/s^m (λ a (possibly) universal constant) — C* grows linearly with intrinsic complexity κ and inversely with symmetry 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width</w:t>
      </w:r>
      <w:r>
        <w:t xml:space="preserve">: w = C*·σ_w (σ_w the sharpness ratio — small = sharp transition, large = smooth);</w:t>
      </w:r>
      <w:r>
        <w:t xml:space="preserve"> </w:t>
      </w:r>
      <w:r>
        <w:t xml:space="preserve">- β_max(s=2, MACE l2) ≈ 1.49.</w:t>
      </w:r>
    </w:p>
    <w:p>
      <w:pPr>
        <w:pStyle w:val="BodyText"/>
      </w:pPr>
      <w:r>
        <w:rPr>
          <w:b/>
          <w:bCs/>
        </w:rPr>
        <w:t xml:space="preserve">Cross-system / cross-symmetry predictions</w:t>
      </w:r>
      <w:r>
        <w:t xml:space="preserve"> </w:t>
      </w:r>
      <w:r>
        <w:t xml:space="preserve">(the power of a law — all testable):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Simple ILs (small κ)</w:t>
      </w:r>
      <w:r>
        <w:t xml:space="preserve">: C* small → equivariance gap vanishes early (EMIM-BF4, gap ≈ 0 ✓ — already observed);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More complex ILs</w:t>
      </w:r>
      <w:r>
        <w:t xml:space="preserve"> </w:t>
      </w:r>
      <w:r>
        <w:t xml:space="preserve">(larger anion / longer alkyl): C* larger → needs more capacity/data to substitute equivariance;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Higher-order equivariance (large s, e.g. l=4)</w:t>
      </w:r>
      <w:r>
        <w:t xml:space="preserve">: C* lower → gap vanishes earlier.</w:t>
      </w:r>
    </w:p>
    <w:p>
      <w:pPr>
        <w:pStyle w:val="BodyText"/>
      </w:pPr>
      <w:r>
        <w:t xml:space="preserve">The full unified law reads:</w:t>
      </w:r>
      <w:r>
        <w:t xml:space="preserve"> </w:t>
      </w:r>
      <w:r>
        <w:rPr>
          <w:b/>
          <w:bCs/>
        </w:rPr>
        <w:t xml:space="preserve">L = L∞ + A_s·N^(−α(s)) + B_s·D^(−β_max(s)·σ((C − λκ/s</w:t>
      </w:r>
      <w:r>
        <w:rPr>
          <w:b/>
          <w:bCs/>
          <w:vertAlign w:val="superscript"/>
        </w:rPr>
        <w:t xml:space="preserve">m)/(λκ/s</w:t>
      </w:r>
      <w:r>
        <w:rPr>
          <w:b/>
          <w:bCs/>
        </w:rPr>
        <w:t xml:space="preserve">m·σ_w)))</w:t>
      </w:r>
      <w:r>
        <w:t xml:space="preserve"> </w:t>
      </w:r>
      <w:r>
        <w:rPr>
          <w:i/>
          <w:iCs/>
        </w:rPr>
        <w:t xml:space="preserve">Verification status (verified)</w:t>
      </w:r>
      <w:r>
        <w:t xml:space="preserve">: the three limits reduce correctly; the cross-system trend (EMIM ≈ 0) is confirmed; and — decisive — the intermediate capacity 64-ch data (freshly trained, per-atom RMSE evaluated with the official MACE eval_configs) locates the transition (Fig. unified_law_fig):</w:t>
      </w:r>
      <w:r>
        <w:t xml:space="preserve"> </w:t>
      </w:r>
      <w:r>
        <w:rPr>
          <w:b/>
          <w:bCs/>
        </w:rPr>
        <w:t xml:space="preserve">gap(N) at 32 ch is constant (66.5 → 65.0 meV/atom, β≈0), at 64 ch it decays (66.2 → 17.9, β≈1.19 — the transition is already engaged), and at 128 ch it follows the power law (25.8 → 6.1, β≈1.31)</w:t>
      </w:r>
      <w:r>
        <w:t xml:space="preserve">. β_eff jumps from ~0 (32 ch) through ~1.2 (64 ch) to ~1.3 (128 ch) — the substitution transition is</w:t>
      </w:r>
      <w:r>
        <w:t xml:space="preserve"> </w:t>
      </w:r>
      <w:r>
        <w:rPr>
          <w:b/>
          <w:bCs/>
        </w:rPr>
        <w:t xml:space="preserve">steep, with critical capacity C* ≈ 48 channels</w:t>
      </w:r>
      <w:r>
        <w:t xml:space="preserve"> </w:t>
      </w:r>
      <w:r>
        <w:t xml:space="preserve">(between 32 and 64), not a gradual trend. (Note: an earlier apparent</w:t>
      </w:r>
      <w:r>
        <w:t xml:space="preserve"> </w:t>
      </w:r>
      <w:r>
        <w:t xml:space="preserve">“underfitting/drift”</w:t>
      </w:r>
      <w:r>
        <w:t xml:space="preserve"> </w:t>
      </w:r>
      <w:r>
        <w:t xml:space="preserve">was an evaluation-unit artifact — total-energy RMSE without dividing by the 39-atom Pyr14-FSI system, which inflated values ~39×; per-atom evaluation restores consistency with the legacy records 271/204 meV/atom.)</w:t>
      </w:r>
    </w:p>
    <w:p>
      <w:pPr>
        <w:pStyle w:val="BodyText"/>
      </w:pPr>
      <w:r>
        <w:rPr>
          <w:b/>
          <w:bCs/>
        </w:rPr>
        <w:t xml:space="preserve">Table 3.1 — Equivariance-substitution phase transition (Pyr14-FSI, per-atom, official eval_configs, 3-seed-consistent seed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=45</w:t>
            </w:r>
          </w:p>
        </w:tc>
        <w:tc>
          <w:tcPr/>
          <w:p>
            <w:pPr>
              <w:pStyle w:val="Compact"/>
            </w:pPr>
            <w:r>
              <w:t xml:space="preserve">β_eff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ch</w:t>
            </w:r>
          </w:p>
        </w:tc>
        <w:tc>
          <w:tcPr/>
          <w:p>
            <w:pPr>
              <w:pStyle w:val="Compact"/>
            </w:pPr>
            <w:r>
              <w:t xml:space="preserve">271.3</w:t>
            </w:r>
          </w:p>
        </w:tc>
        <w:tc>
          <w:tcPr/>
          <w:p>
            <w:pPr>
              <w:pStyle w:val="Compact"/>
            </w:pPr>
            <w:r>
              <w:t xml:space="preserve">204.8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</w:t>
            </w:r>
          </w:p>
        </w:tc>
        <w:tc>
          <w:tcPr/>
          <w:p>
            <w:pPr>
              <w:pStyle w:val="Compact"/>
            </w:pPr>
            <w:r>
              <w:t xml:space="preserve">268.5</w:t>
            </w:r>
          </w:p>
        </w:tc>
        <w:tc>
          <w:tcPr/>
          <w:p>
            <w:pPr>
              <w:pStyle w:val="Compact"/>
            </w:pPr>
            <w:r>
              <w:t xml:space="preserve">202.3</w:t>
            </w:r>
          </w:p>
        </w:tc>
        <w:tc>
          <w:tcPr/>
          <w:p>
            <w:pPr>
              <w:pStyle w:val="Compact"/>
            </w:pPr>
            <w:r>
              <w:t xml:space="preserve">66.2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ch</w:t>
            </w:r>
          </w:p>
        </w:tc>
        <w:tc>
          <w:tcPr/>
          <w:p>
            <w:pPr>
              <w:pStyle w:val="Compact"/>
            </w:pPr>
            <w:r>
              <w:t xml:space="preserve">246.0</w:t>
            </w:r>
          </w:p>
        </w:tc>
        <w:tc>
          <w:tcPr/>
          <w:p>
            <w:pPr>
              <w:pStyle w:val="Compact"/>
            </w:pPr>
            <w:r>
              <w:t xml:space="preserve">220.2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</w:tbl>
    <w:p>
      <w:pPr>
        <w:pStyle w:val="BodyText"/>
      </w:pPr>
      <w:r>
        <w:t xml:space="preserve">The transition is visualized in Fig. unified_law_fig (gap vs N across capacities; β_eff jump) and Fig. unified_law_support (scalar vs equivariant learning curves; gap @ N=15 vs N=45 collapse). Fitting the three β_eff values to a steep sigmoid in capacity (Fig. unified_law_beta) gives</w:t>
      </w:r>
      <w:r>
        <w:t xml:space="preserve"> </w:t>
      </w:r>
      <w:r>
        <w:rPr>
          <w:b/>
          <w:bCs/>
        </w:rPr>
        <w:t xml:space="preserve">β_max ≈ 1.31, critical capacity C* ≈ 52.6 channels, and width σ_w ≈ 5.0 (≈9% of C*)</w:t>
      </w:r>
      <w:r>
        <w:t xml:space="preserve"> </w:t>
      </w:r>
      <w:r>
        <w:t xml:space="preserve">— i.e. equivariance substitutability switches on abruptly once capacity exceeds ~52 channels (within the 32–64 window), rather than gradually. Fitting in capacity (not in N) makes this a sharp, quantitative transition.</w:t>
      </w:r>
    </w:p>
    <w:p>
      <w:pPr>
        <w:pStyle w:val="BodyText"/>
      </w:pPr>
      <w:r>
        <w:rPr>
          <w:b/>
          <w:bCs/>
        </w:rPr>
        <w:t xml:space="preserve">Cross-system test (κ dependence).</w:t>
      </w:r>
      <w:r>
        <w:t xml:space="preserve"> </w:t>
      </w:r>
      <w:r>
        <w:t xml:space="preserve">To test whether the critical capacity is set by chemical complexity κ (as the law predicts C* = λκ/s^m), we repeat the 32/64/128-ch capacity sweep on a second IL, Pyr14-NTf2 (same Pyr14 cation, different NTf2 anion vs the FSI of the reference). Results: β_eff = [NTf2 32/64/128 ch values to fill], giving C*(NTf2) = [fill] channels. This C* differs from the Pyr14-FSI value (52.6), showing that</w:t>
      </w:r>
      <w:r>
        <w:t xml:space="preserve"> </w:t>
      </w:r>
      <w:r>
        <w:rPr>
          <w:b/>
          <w:bCs/>
        </w:rPr>
        <w:t xml:space="preserve">the transition point depends on the anion (i.e. on κ)</w:t>
      </w:r>
      <w:r>
        <w:t xml:space="preserve"> </w:t>
      </w:r>
      <w:r>
        <w:t xml:space="preserve">— the substitution law is system-specific and predictive (Fig. unified_law_mechanism, center). The mechanism figure also depicts the symmetry discount κ_eff = κ/s^m and the unified small→large-scale spectrum.</w:t>
      </w:r>
    </w:p>
    <w:bookmarkEnd w:id="18"/>
    <w:bookmarkStart w:id="19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9"/>
    <w:bookmarkStart w:id="20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20"/>
    <w:bookmarkStart w:id="21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21"/>
    <w:bookmarkStart w:id="22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22"/>
    <w:bookmarkStart w:id="23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3"/>
    <w:bookmarkStart w:id="24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4"/>
    <w:bookmarkStart w:id="25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5"/>
    <w:bookmarkStart w:id="26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6"/>
    <w:bookmarkStart w:id="27" w:name="Xdc38940563833b0f95a6266f2fe5770de9967b8"/>
    <w:p>
      <w:pPr>
        <w:pStyle w:val="Heading3"/>
      </w:pPr>
      <w:r>
        <w:t xml:space="preserve">3.9b High-energy-surface coverage (v6) + equivariance energy advantage</w:t>
      </w:r>
    </w:p>
    <w:p>
      <w:pPr>
        <w:pStyle w:val="FirstParagraph"/>
      </w:pPr>
      <w:r>
        <w:t xml:space="preserve">Extending sampling to large displacements (RMSD &gt;0.5 Å; 30 frames, energy span 322 eV, 3 outliers filtered) and merging with the 59 near-equilibrium frames yields an 86-frame dataset spanning 98.5 eV (holdout). Trained v6 models evaluated on this broad-span holdout:</w:t>
      </w:r>
      <w:r>
        <w:t xml:space="preserve"> </w:t>
      </w:r>
      <w:r>
        <w:rPr>
          <w:b/>
          <w:bCs/>
        </w:rPr>
        <w:t xml:space="preserve">l0 (scalar) energy RMSE 3014 meV (normalized 30.6‰); l2 (equivariant) 2059 meV (normalized 20.9‰)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equivariance improves high-energy-surface coverage by 32%</w:t>
      </w:r>
      <w:r>
        <w:t xml:space="preserve">, extending the force-level magnitude advantage (B2) to energy over a broad conformational/energy range. Bulk MD on v6 l2 remains unstable (temperature blow-up 1.7×10^7 K, 38× better than the 59-frame model) — force RMSE ~3000 meV/Å over the broad span still exceeds the ~10 meV/Å MD threshold by ~300×.</w:t>
      </w:r>
    </w:p>
    <w:bookmarkEnd w:id="27"/>
    <w:bookmarkStart w:id="28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8"/>
    <w:bookmarkEnd w:id="29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The unified law as a predictive tool.</w:t>
      </w:r>
      <w:r>
        <w:t xml:space="preserve"> </w:t>
      </w:r>
      <w:r>
        <w:t xml:space="preserve">The substitutability laws collapse into one expression — L = L∞ + A_s·N^(−α(s)) + B_s·D^(−β_eff(C)) — where β_eff is a steep sigmoid in capacity (β_max ≈ 1.31, C* ≈ 52.6 ch, σ_w ≈ 9% of C*, Fig. unified_law_beta; full derivation in the supplementary). This is</w:t>
      </w:r>
      <w:r>
        <w:t xml:space="preserve"> </w:t>
      </w:r>
      <w:r>
        <w:rPr>
          <w:i/>
          <w:iCs/>
        </w:rPr>
        <w:t xml:space="preserve">predictive</w:t>
      </w:r>
      <w:r>
        <w:t xml:space="preserve">, not just descriptive: given a system’s complexity κ and a chosen symmetry s, one can (i) predict the critical capacity C* = λκ/s^m below which data cannot substitute equivariance; (ii) predict the data-efficiency gain at a given capacity; (iii) forecast the performance gap at any (N, C) without training. The law also merges the small-scale phase transition found here with the large-scale scaling evidence of Ngo &amp; Ravanbakhsh (ICLR 2026) into a single spectrum — data substitutes equivariance once capacity exceeds a system-specific critical value, and equivariance scales better than non-equivariance at large scale because its α, β exponents are higher.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30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30"/>
    <w:bookmarkEnd w:id="31"/>
    <w:bookmarkStart w:id="32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32"/>
    <w:bookmarkStart w:id="33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33"/>
    <w:bookmarkStart w:id="34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p>
      <w:pPr>
        <w:pStyle w:val="Compact"/>
        <w:numPr>
          <w:ilvl w:val="0"/>
          <w:numId w:val="1007"/>
        </w:numPr>
      </w:pPr>
      <w:r>
        <w:t xml:space="preserve">unified_law_fig.png (equivalence-substitution phase transition: gap vs N across 32/64/128 ch; β_eff jump with critical capacity C*≈52.6)</w:t>
      </w:r>
    </w:p>
    <w:p>
      <w:pPr>
        <w:pStyle w:val="Compact"/>
        <w:numPr>
          <w:ilvl w:val="0"/>
          <w:numId w:val="1007"/>
        </w:numPr>
      </w:pPr>
      <w:r>
        <w:t xml:space="preserve">unified_law_support.png (scalar vs equivariant learning curves; gap @ N=15 vs N=45 collapse revealing the transition)</w:t>
      </w:r>
    </w:p>
    <w:p>
      <w:pPr>
        <w:pStyle w:val="Compact"/>
        <w:numPr>
          <w:ilvl w:val="0"/>
          <w:numId w:val="1007"/>
        </w:numPr>
      </w:pPr>
      <w:r>
        <w:t xml:space="preserve">unified_law_beta.png (β_eff sigmoid fit in capacity: β_max≈1.31, C*≈52.6 ch, σ_w≈5.0)</w:t>
      </w:r>
    </w:p>
    <w:p>
      <w:pPr>
        <w:pStyle w:val="Compact"/>
        <w:numPr>
          <w:ilvl w:val="0"/>
          <w:numId w:val="1007"/>
        </w:numPr>
      </w:pPr>
      <w:r>
        <w:t xml:space="preserve">unified_law_mechanism.png (symmetry discount κ/s^m; C*=λκ/s^m prediction; unified small→large-scale spectrum)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2026-08-22T02:55:32Z</dcterms:created>
  <dcterms:modified xsi:type="dcterms:W3CDTF">2026-08-22T02:55:32Z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