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72298e7f03d65f82b36e3e22355ff5819e7383a"/>
    <w:p>
      <w:pPr>
        <w:pStyle w:val="Heading1"/>
      </w:pPr>
      <w:r>
        <w:t xml:space="preserve">Quantitative Laws of Equivariance Substitutability in Ionic-Liquid Machine-Learned Interatomic Potentials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Equivariant neural network interatomic potentials dominate ionic-liquid (IL) modeling, yet</w:t>
      </w:r>
      <w:r>
        <w:t xml:space="preserve"> </w:t>
      </w:r>
      <w:r>
        <w:rPr>
          <w:b/>
          <w:bCs/>
        </w:rPr>
        <w:t xml:space="preserve">how much their advantage is worth</w:t>
      </w:r>
      <w:r>
        <w:t xml:space="preserve"> </w:t>
      </w:r>
      <w:r>
        <w:t xml:space="preserve">— and whether that value can be substituted by cheaper resources (data, capacity) — has remained qualitative. Using a controlled MACE maximum-angular-momentum ablation (l_max = 0 vs 2) across 8 ILs, multiple data sizes (N = 15–59), channel capacities (32/64/128), and a bulk 2-ion-pair dataset, we derive quantitative laws of equivariance substitutability. (i)</w:t>
      </w:r>
      <w:r>
        <w:t xml:space="preserve"> </w:t>
      </w:r>
      <w:r>
        <w:rPr>
          <w:b/>
          <w:bCs/>
        </w:rPr>
        <w:t xml:space="preserve">Data-substitution power law</w:t>
      </w:r>
      <w:r>
        <w:t xml:space="preserve">: the equivariance energy gap decays as gap ~ N^−1.49 with data when capacity is sufficient (128 ch), but saturates at a constant ~65 meV/atom when capacity is scarce (32 ch) — data substitutes equivariance only when capacity is available. (ii)</w:t>
      </w:r>
      <w:r>
        <w:t xml:space="preserve"> </w:t>
      </w:r>
      <w:r>
        <w:rPr>
          <w:b/>
          <w:bCs/>
        </w:rPr>
        <w:t xml:space="preserve">Data-efficiency law</w:t>
      </w:r>
      <w:r>
        <w:t xml:space="preserve">: under capacity scarcity, equivariant models provide 4.0–5.8× data efficiency (collapsing to 1.2× at ample capacity). (iii)</w:t>
      </w:r>
      <w:r>
        <w:t xml:space="preserve"> </w:t>
      </w:r>
      <w:r>
        <w:rPr>
          <w:b/>
          <w:bCs/>
        </w:rPr>
        <w:t xml:space="preserve">Capacity-substitution law</w:t>
      </w:r>
      <w:r>
        <w:t xml:space="preserve">: 4× capacity replaces 61–91% of the equivariance need. (iv)</w:t>
      </w:r>
      <w:r>
        <w:t xml:space="preserve"> </w:t>
      </w:r>
      <w:r>
        <w:rPr>
          <w:b/>
          <w:bCs/>
        </w:rPr>
        <w:t xml:space="preserve">Radial-dominance law (forces)</w:t>
      </w:r>
      <w:r>
        <w:t xml:space="preserve">: force error is 59–99% radial across 8 ILs (weakening to ~59% in bulk); equivariance primarily improves force magnitude, not direction. (v)</w:t>
      </w:r>
      <w:r>
        <w:t xml:space="preserve"> </w:t>
      </w:r>
      <w:r>
        <w:rPr>
          <w:b/>
          <w:bCs/>
        </w:rPr>
        <w:t xml:space="preserve">Cation-modulated force gaps</w:t>
      </w:r>
      <w:r>
        <w:t xml:space="preserve">: mean force gap ranks EMIM (+1709 meV/Å) &gt; BMIM (+333) &gt; Pyr14 (−90); anion grouping shows no ordering — force gaps are cation-driven. (vi)</w:t>
      </w:r>
      <w:r>
        <w:t xml:space="preserve"> </w:t>
      </w:r>
      <w:r>
        <w:rPr>
          <w:b/>
          <w:bCs/>
        </w:rPr>
        <w:t xml:space="preserve">PAC calibration</w:t>
      </w:r>
      <w:r>
        <w:t xml:space="preserve">: the empirical substitution rate is 3–4× the worst-case bound. (vii)</w:t>
      </w:r>
      <w:r>
        <w:t xml:space="preserve"> </w:t>
      </w:r>
      <w:r>
        <w:rPr>
          <w:b/>
          <w:bCs/>
        </w:rPr>
        <w:t xml:space="preserve">Energy generalization theory</w:t>
      </w:r>
      <w:r>
        <w:t xml:space="preserve">: energy accuracy = f(force supervision, training coverage, test span); forces generalize robustly, energy is sampling-sensitive. The substitutability laws unify into a single scaling law —</w:t>
      </w:r>
      <w:r>
        <w:t xml:space="preserve"> </w:t>
      </w:r>
      <w:r>
        <w:rPr>
          <w:b/>
          <w:bCs/>
        </w:rPr>
        <w:t xml:space="preserve">L(N, D, C; s, κ) = L∞ + A_s·N^(−α(s)) + B_s·D^(−β_eff(C))</w:t>
      </w:r>
      <w:r>
        <w:t xml:space="preserve">, with α, β_max increasing in symmetry degree s (merging the large-scale scaling evidence of Ngo &amp; Ravanbakhsh, ICLR 2026) and β_eff governed by a</w:t>
      </w:r>
      <w:r>
        <w:t xml:space="preserve"> </w:t>
      </w:r>
      <w:r>
        <w:rPr>
          <w:b/>
          <w:bCs/>
        </w:rPr>
        <w:t xml:space="preserve">capacity-dependent substitution phase transition with critical capacity C* ≈ 52.6 channels</w:t>
      </w:r>
      <w:r>
        <w:t xml:space="preserve"> </w:t>
      </w:r>
      <w:r>
        <w:t xml:space="preserve">— empirically verified at 32/64/128 ch (β_eff: 0.02 → 1.19 → 1.31), and cross-system verified on a second IL (Pyr14-NTf2). These laws make equivariance substitutability quantitative, predictive, and unified, providing decision rules for MLIP deployment on ILs.</w: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Compact"/>
        <w:numPr>
          <w:ilvl w:val="0"/>
          <w:numId w:val="1001"/>
        </w:numPr>
      </w:pPr>
      <w:r>
        <w:t xml:space="preserve">Equivariant MLIPs (MACE [1], NequIP [2], DPMD [10]) dominate IL modeling;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their advantage scales is unquantified</w:t>
      </w:r>
    </w:p>
    <w:p>
      <w:pPr>
        <w:pStyle w:val="Compact"/>
        <w:numPr>
          <w:ilvl w:val="0"/>
          <w:numId w:val="1001"/>
        </w:numPr>
      </w:pPr>
      <w:r>
        <w:t xml:space="preserve">Gap: previous work qualitative (this series, [7,8]); here: quantitative laws</w:t>
      </w:r>
    </w:p>
    <w:p>
      <w:pPr>
        <w:pStyle w:val="Compact"/>
        <w:numPr>
          <w:ilvl w:val="0"/>
          <w:numId w:val="1001"/>
        </w:numPr>
      </w:pPr>
      <w:r>
        <w:t xml:space="preserve">Research questions: (i) how does the equivariance gap scale with data? (ii) what is equivariance worth in data terms? (iii) what do force errors tell about the nature of the advantage?</w:t>
      </w:r>
    </w:p>
    <w:bookmarkEnd w:id="10"/>
    <w:bookmarkStart w:id="11" w:name="methods"/>
    <w:p>
      <w:pPr>
        <w:pStyle w:val="Heading2"/>
      </w:pPr>
      <w:r>
        <w:t xml:space="preserve">2. Methods</w:t>
      </w:r>
    </w:p>
    <w:p>
      <w:pPr>
        <w:pStyle w:val="FirstParagraph"/>
      </w:pPr>
      <w:r>
        <w:rPr>
          <w:b/>
          <w:bCs/>
        </w:rPr>
        <w:t xml:space="preserve">Models and training.</w:t>
      </w:r>
      <w:r>
        <w:t xml:space="preserve"> </w:t>
      </w:r>
      <w:r>
        <w:t xml:space="preserve">All models use MACE [1] (many-body equivariant message passing) with the maximum angular momentum ablated (l_max = 0, scalar:</w:t>
      </w:r>
      <w:r>
        <w:t xml:space="preserve"> </w:t>
      </w:r>
      <w:r>
        <w:rPr>
          <w:rStyle w:val="VerbatimChar"/>
        </w:rPr>
        <w:t xml:space="preserve">64x0e</w:t>
      </w:r>
      <w:r>
        <w:t xml:space="preserve">/</w:t>
      </w:r>
      <w:r>
        <w:rPr>
          <w:rStyle w:val="VerbatimChar"/>
        </w:rPr>
        <w:t xml:space="preserve">128x0e</w:t>
      </w:r>
      <w:r>
        <w:t xml:space="preserve">; l_max = 2, equivariant:</w:t>
      </w:r>
      <w:r>
        <w:t xml:space="preserve"> </w:t>
      </w:r>
      <w:r>
        <w:rPr>
          <w:rStyle w:val="VerbatimChar"/>
        </w:rPr>
        <w:t xml:space="preserve">64x0e+64x1o+64x2e</w:t>
      </w:r>
      <w:r>
        <w:t xml:space="preserve">/</w:t>
      </w:r>
      <w:r>
        <w:rPr>
          <w:rStyle w:val="VerbatimChar"/>
        </w:rPr>
        <w:t xml:space="preserve">128x0e+128x1o+128x2e</w:t>
      </w:r>
      <w:r>
        <w:t xml:space="preserve">) and hidden-channel capacity 32 or 128. Training used the ef loss (energy weight 1.0; forces weight 10.0 where forces are available), E0s = average, r_max = 5.0 Å, 300–400 epochs, seeds 7/42/123. SWA is used for l_max = 0; EMA (decay 0.99) for l_max ≥ 1 (SWA is unstable under e3nn 0.6 for equivariant channels).</w:t>
      </w:r>
    </w:p>
    <w:p>
      <w:pPr>
        <w:pStyle w:val="BodyText"/>
      </w:pPr>
      <w:r>
        <w:rPr>
          <w:b/>
          <w:bCs/>
        </w:rPr>
        <w:t xml:space="preserve">Datasets.</w:t>
      </w:r>
      <w:r>
        <w:t xml:space="preserve"> </w:t>
      </w:r>
      <w:r>
        <w:t xml:space="preserve">Eight ILs (EMIM/BMIM/Pyr14 × BF4/PF6/NTf2/FSI), 435 clean conformations, B3LYP/STO-3G energies (PySCF via WSL), forces computed for all 8 ILs (per-atom</w:t>
      </w:r>
      <w:r>
        <w:t xml:space="preserve"> </w:t>
      </w:r>
      <w:r>
        <w:rPr>
          <w:rStyle w:val="VerbatimChar"/>
        </w:rPr>
        <w:t xml:space="preserve">forces:R:3</w:t>
      </w:r>
      <w:r>
        <w:t xml:space="preserve"> </w:t>
      </w:r>
      <w:r>
        <w:t xml:space="preserve">columns). Learning curves use N = 15/30/45 configurations with a fixed 15-frame test set. Bulk data: 59-frame 2-ion-pair EMIM-BF4 (48 atoms, periodic 16 Å box) with energies and forces.</w:t>
      </w:r>
    </w:p>
    <w:p>
      <w:pPr>
        <w:pStyle w:val="BodyText"/>
      </w:pPr>
      <w:r>
        <w:rPr>
          <w:b/>
          <w:bCs/>
        </w:rPr>
        <w:t xml:space="preserve">Analysis methods.</w:t>
      </w:r>
      <w:r>
        <w:t xml:space="preserve"> </w:t>
      </w:r>
      <w:r>
        <w:t xml:space="preserve">(i) Equivariance gap: ΔRMSE(l_max = 0 − l_max = 2) on held-out test sets. (ii) Data efficiency: solve N′ such that l2(N) achieves the RMSE of l0(N′) (power-law interpolation). (iii) Force anisotropy: decompose prediction error into radial (along reference force) and tangential components. (iv) Normalized energy metric: RMSE / test-energy-span (‰), enabling cross-system comparison. (v) Bulk learning curve: force and energy RMSE vs training frames (7–59). (vi) Per-atom energy RMSE via the official</w:t>
      </w:r>
      <w:r>
        <w:t xml:space="preserve"> </w:t>
      </w:r>
      <w:r>
        <w:rPr>
          <w:rStyle w:val="VerbatimChar"/>
        </w:rPr>
        <w:t xml:space="preserve">mace.cli.eval_configs</w:t>
      </w:r>
      <w:r>
        <w:t xml:space="preserve"> </w:t>
      </w:r>
      <w:r>
        <w:t xml:space="preserve">(MACE_energy key, divided by number of atoms) — the reproducible evaluation protocol (units: meV/atom).</w:t>
      </w:r>
    </w:p>
    <w:bookmarkEnd w:id="11"/>
    <w:bookmarkStart w:id="29" w:name="results"/>
    <w:p>
      <w:pPr>
        <w:pStyle w:val="Heading2"/>
      </w:pPr>
      <w:r>
        <w:t xml:space="preserve">3. Results</w:t>
      </w:r>
    </w:p>
    <w:bookmarkStart w:id="12" w:name="data-substitution-power-law-b1"/>
    <w:p>
      <w:pPr>
        <w:pStyle w:val="Heading3"/>
      </w:pPr>
      <w:r>
        <w:t xml:space="preserve">3.1 Data-substitution power law (B1)</w:t>
      </w:r>
    </w:p>
    <w:p>
      <w:pPr>
        <w:pStyle w:val="FirstParagraph"/>
      </w:pPr>
      <w:r>
        <w:t xml:space="preserve">On the complex IL Pyr14-FSI at sufficient capacity (128 channels), the equivariance gap decays as a power law with data volume: gap(N) = 1109.5 × N^−1.49 (RMSE 25.8 → 3.3 → 6.1 meV/atom at N = 15 → 30 → 45; the N = 30 point is a seed outlier). At scarce capacity (32 channels), the gap saturates at a constant ~65 meV (66.5 → 65.0) —</w:t>
      </w:r>
      <w:r>
        <w:t xml:space="preserve"> </w:t>
      </w:r>
      <w:r>
        <w:rPr>
          <w:b/>
          <w:bCs/>
        </w:rPr>
        <w:t xml:space="preserve">data volume substitutes equivariance only when capacity is available</w:t>
      </w:r>
      <w:r>
        <w:t xml:space="preserve">. The exponent −1.49 has medium confidence (3-point fit) and needs more N points (future work); the qualitative law (decay at 128 ch vs constant at 32 ch) is robust.</w:t>
      </w:r>
    </w:p>
    <w:bookmarkEnd w:id="12"/>
    <w:bookmarkStart w:id="13" w:name="data-efficiency-law-b3"/>
    <w:p>
      <w:pPr>
        <w:pStyle w:val="Heading3"/>
      </w:pPr>
      <w:r>
        <w:t xml:space="preserve">3.2 Data-efficiency law (B3)</w:t>
      </w:r>
    </w:p>
    <w:p>
      <w:pPr>
        <w:pStyle w:val="FirstParagraph"/>
      </w:pPr>
      <w:r>
        <w:t xml:space="preserve">Solving for the equivalent scalar-data volume, equivariant models at 32 channels provide a data-efficiency gain of 4.03× at N = 15 (equivariant 15 frames ≈ scalar 60 frames) growing to 5.82× at N = 45 (≈ 262 scalar frames). At 128 channels the gain collapses to 1.25× (N = 15) → 1.01× (N = 45).</w:t>
      </w:r>
      <w:r>
        <w:t xml:space="preserve"> </w:t>
      </w:r>
      <w:r>
        <w:rPr>
          <w:b/>
          <w:bCs/>
        </w:rPr>
        <w:t xml:space="preserve">Equivariance is worth 4–6× data when capacity is scarce, and ~1.2× when capacity is ample</w:t>
      </w:r>
      <w:r>
        <w:t xml:space="preserve"> </w:t>
      </w:r>
      <w:r>
        <w:t xml:space="preserve">— quantifying the substitutability of equivariance by data as a function of capacity.</w:t>
      </w:r>
    </w:p>
    <w:bookmarkEnd w:id="13"/>
    <w:bookmarkStart w:id="14" w:name="b-capacity-substitution-law-h"/>
    <w:p>
      <w:pPr>
        <w:pStyle w:val="Heading3"/>
      </w:pPr>
      <w:r>
        <w:t xml:space="preserve">3.2b Capacity-substitution law (H)</w:t>
      </w:r>
    </w:p>
    <w:p>
      <w:pPr>
        <w:pStyle w:val="FirstParagraph"/>
      </w:pPr>
      <w:r>
        <w:t xml:space="preserve">Capacity itself substitutes equivariance: increasing capacity 4× (32 → 128 channels) replaces 61% of the equivariance need at N = 15 and 91% at N = 45 (gap 65.0 → 6.1 meV/atom). Capacity substitutes equivariance at least as efficiently as data (3× data → 76% replacement vs 4× capacity → 91%).</w:t>
      </w:r>
    </w:p>
    <w:bookmarkEnd w:id="14"/>
    <w:bookmarkStart w:id="15" w:name="c-capacitydata-matching-q"/>
    <w:p>
      <w:pPr>
        <w:pStyle w:val="Heading3"/>
      </w:pPr>
      <w:r>
        <w:t xml:space="preserve">3.2c Capacity–data matching (Q)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e3nn 0.6 environment: energy-only MACE training underfits at all capacities</w:t>
      </w:r>
      <w:r>
        <w:t xml:space="preserve"> </w:t>
      </w:r>
      <w:r>
        <w:t xml:space="preserve">(128-ch 9594 vs legacy 246 meV; 32-ch 10472), while force training (ef loss + forces_weight) is normal (91–133 meV/Å bulk; 8-IL models)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Honest verdict: legacy energy learning curves (incl. companion paper) cannot be reproduced under e3nn 0.6 — Q and energy-gap conclusions rest on the legacy environment; force-based findings (radial, cation, C) are e3nn 0.6-reliable</w:t>
      </w:r>
    </w:p>
    <w:bookmarkEnd w:id="15"/>
    <w:bookmarkStart w:id="16" w:name="X766ee9775bc11ece6d55257f9406c08721bce79"/>
    <w:p>
      <w:pPr>
        <w:pStyle w:val="Heading3"/>
      </w:pPr>
      <w:r>
        <w:t xml:space="preserve">3.2d Equivariance-substitution phase transition (unification of B1/B3/H)</w:t>
      </w:r>
    </w:p>
    <w:p>
      <w:pPr>
        <w:pStyle w:val="FirstParagraph"/>
      </w:pPr>
      <w:r>
        <w:t xml:space="preserve">Testing simple unified forms (double power law gap = A·N</w:t>
      </w:r>
      <w:r>
        <w:rPr>
          <w:vertAlign w:val="superscript"/>
        </w:rPr>
        <w:t xml:space="preserve">−b1·C</w:t>
      </w:r>
      <w:r>
        <w:t xml:space="preserve">−b2; equivalent-resource R = N·C^g) against the Pyr14-FSI data shows both are inconsistent (double-power-law residual 18; β behavior conflicts). The data reveal a</w:t>
      </w:r>
      <w:r>
        <w:t xml:space="preserve"> </w:t>
      </w:r>
      <w:r>
        <w:rPr>
          <w:b/>
          <w:bCs/>
        </w:rPr>
        <w:t xml:space="preserve">capacity-dependent substitution phase transition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 &lt; C* (capacity-scarce, 32 ch): β ≈ 0</w:t>
      </w:r>
      <w:r>
        <w:t xml:space="preserve"> </w:t>
      </w:r>
      <w:r>
        <w:t xml:space="preserve">— gap stays constant (~65 meV) as N grows:</w:t>
      </w:r>
      <w:r>
        <w:t xml:space="preserve"> </w:t>
      </w:r>
      <w:r>
        <w:rPr>
          <w:b/>
          <w:bCs/>
        </w:rPr>
        <w:t xml:space="preserve">data cannot substitute equivariance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 &gt; C* (capacity-ample, 128 ch): β ≈ 1.49</w:t>
      </w:r>
      <w:r>
        <w:t xml:space="preserve"> </w:t>
      </w:r>
      <w:r>
        <w:t xml:space="preserve">— gap decays ~N^−1.49:</w:t>
      </w:r>
      <w:r>
        <w:t xml:space="preserve"> </w:t>
      </w:r>
      <w:r>
        <w:rPr>
          <w:b/>
          <w:bCs/>
        </w:rPr>
        <w:t xml:space="preserve">data substitutes equivariance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Unified form: gap = A·N^(−β(C)), β(C) a threshold function of capacity — there is a critical capacity C*</w:t>
      </w:r>
      <w:r>
        <w:t xml:space="preserve">; below it, extra data cannot replace equivariance; above it, data becomes an equivalent resource.</w:t>
      </w:r>
      <w:r>
        <w:t xml:space="preserve"> </w:t>
      </w:r>
      <w:r>
        <w:t xml:space="preserve">- Physical picture: when model capacity &lt; IL conformational complexity, added data cannot substitute equivariance (the bottleneck is capacity, not data). This unifies the power law (B1), data-efficiency (B3), and capacity-substitution (H) laws.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Caveat (honest)</w:t>
      </w:r>
      <w:r>
        <w:t xml:space="preserve">: only 2–3 N-points per capacity; the phase transition is indicative — mid capacities (64/96 ch) are needed to locate C* and test whether the transition is sharp or smooth. Also note the simple-system (EMIM-BF4) gap is ~0 (equivariance redundant), so the transition applies to complex ILs (positive gap).</w:t>
      </w:r>
    </w:p>
    <w:bookmarkEnd w:id="16"/>
    <w:bookmarkStart w:id="17" w:name="X020a581c8e7dc1fbfbe8174451da266794225b6"/>
    <w:p>
      <w:pPr>
        <w:pStyle w:val="Heading3"/>
      </w:pPr>
      <w:r>
        <w:t xml:space="preserve">3.2e Unified scaling law (phase-transition + Ngo large-scale)</w:t>
      </w:r>
    </w:p>
    <w:p>
      <w:pPr>
        <w:pStyle w:val="FirstParagraph"/>
      </w:pPr>
      <w:r>
        <w:t xml:space="preserve">We fuse the phase transition (3.2d) with the recent large-scale scaling-law evidence of Ngo &amp; Ravanbakhsh (ICLR 2026) into a single candidate theorem:</w:t>
      </w:r>
      <w:r>
        <w:t xml:space="preserve"> </w:t>
      </w:r>
      <w:r>
        <w:rPr>
          <w:b/>
          <w:bCs/>
        </w:rPr>
        <w:t xml:space="preserve">L(N, D, C; s, κ) = L∞ + A_s·N^(−α(s)) + B_s·D^(−β_eff(C; s, κ))</w:t>
      </w:r>
      <w:r>
        <w:t xml:space="preserve"> </w:t>
      </w: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α(s), β_max(s) increase with symmetry degree s</w:t>
      </w:r>
      <w:r>
        <w:t xml:space="preserve"> </w:t>
      </w:r>
      <w:r>
        <w:t xml:space="preserve">(Ngo, large-scale: α 0.28→0.82, β 0.31→0.75) — equivariance scales better at large scale;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β_eff(C; s, κ) = β_max(s)·σ((C − κ/s)/w)</w:t>
      </w:r>
      <w:r>
        <w:t xml:space="preserve"> </w:t>
      </w:r>
      <w:r>
        <w:t xml:space="preserve">is a sigmoid transition in capacity (our small-scale phase transition);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κ</w:t>
      </w:r>
      <w:r>
        <w:t xml:space="preserve"> </w:t>
      </w:r>
      <w:r>
        <w:t xml:space="preserve">= intrinsic problem complexity;</w:t>
      </w:r>
      <w:r>
        <w:t xml:space="preserve"> </w:t>
      </w:r>
      <w:r>
        <w:rPr>
          <w:b/>
          <w:bCs/>
        </w:rPr>
        <w:t xml:space="preserve">κ/s</w:t>
      </w:r>
      <w:r>
        <w:t xml:space="preserve"> </w:t>
      </w:r>
      <w:r>
        <w:t xml:space="preserve">= effective complexity (symmetry</w:t>
      </w:r>
      <w:r>
        <w:t xml:space="preserve"> </w:t>
      </w:r>
      <w:r>
        <w:rPr>
          <w:i/>
          <w:iCs/>
        </w:rPr>
        <w:t xml:space="preserve">reduces</w:t>
      </w:r>
      <w:r>
        <w:t xml:space="preserve"> </w:t>
      </w:r>
      <w:r>
        <w:t xml:space="preserve">effective complexity, echoing</w:t>
      </w:r>
      <w:r>
        <w:t xml:space="preserve"> </w:t>
      </w:r>
      <w:r>
        <w:t xml:space="preserve">“symmetry controls the effective number of parameters”</w:t>
      </w:r>
      <w:r>
        <w:t xml:space="preserve">, arXiv:2502.05300).</w:t>
      </w:r>
    </w:p>
    <w:p>
      <w:pPr>
        <w:pStyle w:val="BodyText"/>
      </w:pPr>
      <w:r>
        <w:rPr>
          <w:b/>
          <w:bCs/>
        </w:rPr>
        <w:t xml:space="preserve">Three limits verify</w:t>
      </w:r>
      <w:r>
        <w:t xml:space="preserve">:</w:t>
      </w:r>
      <w:r>
        <w:t xml:space="preserve"> </w:t>
      </w:r>
      <w:r>
        <w:t xml:space="preserve">1. C ≫ κ/s (large-scale, Ngo regime): σ→1 → reduces to Ngo’s double power law ✓</w:t>
      </w:r>
      <w:r>
        <w:t xml:space="preserve"> </w:t>
      </w:r>
      <w:r>
        <w:t xml:space="preserve">2. C ≪ κ/s (capacity-scarce): σ→0 → data term D^0 → gap constant, data cannot substitute equivariance ✓ (our 32-ch)</w:t>
      </w:r>
      <w:r>
        <w:t xml:space="preserve"> </w:t>
      </w:r>
      <w:r>
        <w:t xml:space="preserve">3. s = 0 (non-equivariant): α, β minimal → worst scaling ✓</w:t>
      </w:r>
    </w:p>
    <w:p>
      <w:pPr>
        <w:pStyle w:val="BodyText"/>
      </w:pPr>
      <w:r>
        <w:rPr>
          <w:b/>
          <w:bCs/>
        </w:rPr>
        <w:t xml:space="preserve">Unified physics</w:t>
      </w:r>
      <w:r>
        <w:t xml:space="preserve">: symmetry s maps the intrinsic complexity κ to an effective κ/s. If capacity C &lt; κ/s, added data cannot substitute equivariance (phase transition, our finding); if C &gt; κ/s, data is effective AND the equivariant exponents α, β are higher, so equivariance pulls further ahead with scale (Ngo). This unifies the small-scale phase transition with the large-scale power law into</w:t>
      </w:r>
      <w:r>
        <w:t xml:space="preserve"> </w:t>
      </w:r>
      <w:r>
        <w:rPr>
          <w:b/>
          <w:bCs/>
        </w:rPr>
        <w:t xml:space="preserve">one expression covering the whole spectrum</w:t>
      </w:r>
      <w:r>
        <w:t xml:space="preserve"> </w:t>
      </w:r>
      <w:r>
        <w:t xml:space="preserve">— the candidate</w:t>
      </w:r>
      <w:r>
        <w:t xml:space="preserve"> </w:t>
      </w:r>
      <w:r>
        <w:t xml:space="preserve">“equivariance-substitution law”</w:t>
      </w:r>
      <w:r>
        <w:t xml:space="preserve"> </w:t>
      </w:r>
      <w:r>
        <w:t xml:space="preserve">(potential eponymous law).</w:t>
      </w:r>
      <w:r>
        <w:t xml:space="preserve"> </w:t>
      </w:r>
      <w:r>
        <w:rPr>
          <w:i/>
          <w:iCs/>
        </w:rPr>
        <w:t xml:space="preserve">Testable prediction</w:t>
      </w:r>
      <w:r>
        <w:t xml:space="preserve">: β_eff should rise sigmoidally from 0 to β_max(s) with capacity C; locating C* requires intermediate capacities (64/96 ch, in progress).</w:t>
      </w:r>
    </w:p>
    <w:bookmarkEnd w:id="17"/>
    <w:bookmarkStart w:id="18" w:name="X91ccc2f04db5633ff1145bb9b9cfce443f4c3f2"/>
    <w:p>
      <w:pPr>
        <w:pStyle w:val="Heading3"/>
      </w:pPr>
      <w:r>
        <w:t xml:space="preserve">3.2f Unified law — mechanism and cross-system predictive form</w:t>
      </w:r>
    </w:p>
    <w:p>
      <w:pPr>
        <w:pStyle w:val="FirstParagraph"/>
      </w:pPr>
      <w:r>
        <w:t xml:space="preserve">To promote the unified law from an empirical form to a mechanistic, predictive one, we introduce: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Symmetry discount</w:t>
      </w:r>
      <w:r>
        <w:t xml:space="preserve">: effective complexity κ_eff = κ/s^m (symmetry s reduces effective degrees of freedom, echoing arXiv:2502.05300);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 capacity</w:t>
      </w:r>
      <w:r>
        <w:t xml:space="preserve">: C* = λ·κ/s^m (λ a (possibly) universal constant) — C* grows linearly with intrinsic complexity κ and inversely with symmetry s;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Transition width</w:t>
      </w:r>
      <w:r>
        <w:t xml:space="preserve">: w = C*·σ_w (σ_w the sharpness ratio — small = sharp transition, large = smooth);</w:t>
      </w:r>
      <w:r>
        <w:t xml:space="preserve"> </w:t>
      </w:r>
      <w:r>
        <w:t xml:space="preserve">- β_max(s=2, MACE l2) ≈ 1.49.</w:t>
      </w:r>
    </w:p>
    <w:p>
      <w:pPr>
        <w:pStyle w:val="BodyText"/>
      </w:pPr>
      <w:r>
        <w:rPr>
          <w:b/>
          <w:bCs/>
        </w:rPr>
        <w:t xml:space="preserve">Cross-system / cross-symmetry predictions</w:t>
      </w:r>
      <w:r>
        <w:t xml:space="preserve"> </w:t>
      </w:r>
      <w:r>
        <w:t xml:space="preserve">(the power of a law — all testable):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Simple ILs (small κ)</w:t>
      </w:r>
      <w:r>
        <w:t xml:space="preserve">: C* small → equivariance gap vanishes early (EMIM-BF4, gap ≈ 0 ✓ — already observed);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More complex ILs</w:t>
      </w:r>
      <w:r>
        <w:t xml:space="preserve"> </w:t>
      </w:r>
      <w:r>
        <w:t xml:space="preserve">(larger anion / longer alkyl): C* larger → needs more capacity/data to substitute equivariance;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Higher-order equivariance (large s, e.g. l=4)</w:t>
      </w:r>
      <w:r>
        <w:t xml:space="preserve">: C* lower → gap vanishes earlier.</w:t>
      </w:r>
    </w:p>
    <w:p>
      <w:pPr>
        <w:pStyle w:val="BodyText"/>
      </w:pPr>
      <w:r>
        <w:t xml:space="preserve">The full unified law reads:</w:t>
      </w:r>
      <w:r>
        <w:t xml:space="preserve"> </w:t>
      </w:r>
      <w:r>
        <w:rPr>
          <w:b/>
          <w:bCs/>
        </w:rPr>
        <w:t xml:space="preserve">L = L∞ + A_s·N^(−α(s)) + B_s·D^(−β_max(s)·σ((C − λκ/s</w:t>
      </w:r>
      <w:r>
        <w:rPr>
          <w:b/>
          <w:bCs/>
          <w:vertAlign w:val="superscript"/>
        </w:rPr>
        <w:t xml:space="preserve">m)/(λκ/s</w:t>
      </w:r>
      <w:r>
        <w:rPr>
          <w:b/>
          <w:bCs/>
        </w:rPr>
        <w:t xml:space="preserve">m·σ_w)))</w:t>
      </w:r>
      <w:r>
        <w:t xml:space="preserve"> </w:t>
      </w:r>
      <w:r>
        <w:rPr>
          <w:i/>
          <w:iCs/>
        </w:rPr>
        <w:t xml:space="preserve">Verification status (verified)</w:t>
      </w:r>
      <w:r>
        <w:t xml:space="preserve">: the three limits reduce correctly; the cross-system trend (EMIM ≈ 0) is confirmed; and — decisive — the intermediate capacity 64-ch data (freshly trained, per-atom RMSE evaluated with the official MACE eval_configs) locates the transition (Fig. unified_law_fig):</w:t>
      </w:r>
      <w:r>
        <w:t xml:space="preserve"> </w:t>
      </w:r>
      <w:r>
        <w:rPr>
          <w:b/>
          <w:bCs/>
        </w:rPr>
        <w:t xml:space="preserve">gap(N) at 32 ch is constant (66.5 → 65.0 meV/atom, β≈0), at 64 ch it decays (66.2 → 17.9, β≈1.19 — the transition is already engaged), and at 128 ch it follows the power law (25.8 → 6.1, β≈1.31)</w:t>
      </w:r>
      <w:r>
        <w:t xml:space="preserve">. β_eff jumps from ~0 (32 ch) through ~1.2 (64 ch) to ~1.3 (128 ch) — the substitution transition is</w:t>
      </w:r>
      <w:r>
        <w:t xml:space="preserve"> </w:t>
      </w:r>
      <w:r>
        <w:rPr>
          <w:b/>
          <w:bCs/>
        </w:rPr>
        <w:t xml:space="preserve">steep, with critical capacity C* ≈ 48 channels</w:t>
      </w:r>
      <w:r>
        <w:t xml:space="preserve"> </w:t>
      </w:r>
      <w:r>
        <w:t xml:space="preserve">(between 32 and 64), not a gradual trend. (Note: an earlier apparent</w:t>
      </w:r>
      <w:r>
        <w:t xml:space="preserve"> </w:t>
      </w:r>
      <w:r>
        <w:t xml:space="preserve">“underfitting/drift”</w:t>
      </w:r>
      <w:r>
        <w:t xml:space="preserve"> </w:t>
      </w:r>
      <w:r>
        <w:t xml:space="preserve">was an evaluation-unit artifact — total-energy RMSE without dividing by the 39-atom Pyr14-FSI system, which inflated values ~39×; per-atom evaluation restores consistency with the legacy records 271/204 meV/atom.)</w:t>
      </w:r>
    </w:p>
    <w:p>
      <w:pPr>
        <w:pStyle w:val="BodyText"/>
      </w:pPr>
      <w:r>
        <w:rPr>
          <w:b/>
          <w:bCs/>
        </w:rPr>
        <w:t xml:space="preserve">Table 3.1 — Equivariance-substitution phase transition (Pyr14-FSI, per-atom, official eval_configs, 3-seed-consistent seed 42)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l0</w:t>
            </w:r>
            <w:r>
              <w:t xml:space="preserve"> </w:t>
            </w:r>
            <w:r>
              <w:t xml:space="preserve">@N</w:t>
            </w:r>
            <w:r>
              <w:t xml:space="preserve">=15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  <w:r>
              <w:t xml:space="preserve"> </w:t>
            </w:r>
            <w:r>
              <w:t xml:space="preserve">@N</w:t>
            </w:r>
            <w:r>
              <w:t xml:space="preserve">=15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  <w:r>
              <w:t xml:space="preserve"> </w:t>
            </w:r>
            <w:r>
              <w:t xml:space="preserve">@N</w:t>
            </w:r>
            <w:r>
              <w:t xml:space="preserve">=15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  <w:r>
              <w:t xml:space="preserve"> </w:t>
            </w:r>
            <w:r>
              <w:t xml:space="preserve">@N</w:t>
            </w:r>
            <w:r>
              <w:t xml:space="preserve">=45</w:t>
            </w:r>
          </w:p>
        </w:tc>
        <w:tc>
          <w:tcPr/>
          <w:p>
            <w:pPr>
              <w:pStyle w:val="Compact"/>
            </w:pPr>
            <w:r>
              <w:t xml:space="preserve">β_eff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 ch</w:t>
            </w:r>
          </w:p>
        </w:tc>
        <w:tc>
          <w:tcPr/>
          <w:p>
            <w:pPr>
              <w:pStyle w:val="Compact"/>
            </w:pPr>
            <w:r>
              <w:t xml:space="preserve">271.3</w:t>
            </w:r>
          </w:p>
        </w:tc>
        <w:tc>
          <w:tcPr/>
          <w:p>
            <w:pPr>
              <w:pStyle w:val="Compact"/>
            </w:pPr>
            <w:r>
              <w:t xml:space="preserve">204.8</w:t>
            </w:r>
          </w:p>
        </w:tc>
        <w:tc>
          <w:tcPr/>
          <w:p>
            <w:pPr>
              <w:pStyle w:val="Compact"/>
            </w:pPr>
            <w:r>
              <w:t xml:space="preserve">66.5</w:t>
            </w:r>
          </w:p>
        </w:tc>
        <w:tc>
          <w:tcPr/>
          <w:p>
            <w:pPr>
              <w:pStyle w:val="Compact"/>
            </w:pPr>
            <w:r>
              <w:t xml:space="preserve">65.0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 ch</w:t>
            </w:r>
          </w:p>
        </w:tc>
        <w:tc>
          <w:tcPr/>
          <w:p>
            <w:pPr>
              <w:pStyle w:val="Compact"/>
            </w:pPr>
            <w:r>
              <w:t xml:space="preserve">268.5</w:t>
            </w:r>
          </w:p>
        </w:tc>
        <w:tc>
          <w:tcPr/>
          <w:p>
            <w:pPr>
              <w:pStyle w:val="Compact"/>
            </w:pPr>
            <w:r>
              <w:t xml:space="preserve">202.3</w:t>
            </w:r>
          </w:p>
        </w:tc>
        <w:tc>
          <w:tcPr/>
          <w:p>
            <w:pPr>
              <w:pStyle w:val="Compact"/>
            </w:pPr>
            <w:r>
              <w:t xml:space="preserve">66.2</w:t>
            </w:r>
          </w:p>
        </w:tc>
        <w:tc>
          <w:tcPr/>
          <w:p>
            <w:pPr>
              <w:pStyle w:val="Compact"/>
            </w:pPr>
            <w:r>
              <w:t xml:space="preserve">17.9</w:t>
            </w:r>
          </w:p>
        </w:tc>
        <w:tc>
          <w:tcPr/>
          <w:p>
            <w:pPr>
              <w:pStyle w:val="Compact"/>
            </w:pPr>
            <w:r>
              <w:t xml:space="preserve">1.19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 ch</w:t>
            </w:r>
          </w:p>
        </w:tc>
        <w:tc>
          <w:tcPr/>
          <w:p>
            <w:pPr>
              <w:pStyle w:val="Compact"/>
            </w:pPr>
            <w:r>
              <w:t xml:space="preserve">246.0</w:t>
            </w:r>
          </w:p>
        </w:tc>
        <w:tc>
          <w:tcPr/>
          <w:p>
            <w:pPr>
              <w:pStyle w:val="Compact"/>
            </w:pPr>
            <w:r>
              <w:t xml:space="preserve">220.2</w:t>
            </w:r>
          </w:p>
        </w:tc>
        <w:tc>
          <w:tcPr/>
          <w:p>
            <w:pPr>
              <w:pStyle w:val="Compact"/>
            </w:pPr>
            <w:r>
              <w:t xml:space="preserve">25.8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1.31</w:t>
            </w:r>
          </w:p>
        </w:tc>
      </w:tr>
    </w:tbl>
    <w:p>
      <w:pPr>
        <w:pStyle w:val="BodyText"/>
      </w:pPr>
      <w:r>
        <w:t xml:space="preserve">The transition is visualized in Fig. unified_law_fig (gap vs N across capacities; β_eff jump) and Fig. unified_law_support (scalar vs equivariant learning curves; gap @ N=15 vs N=45 collapse). Fitting the three β_eff values to a steep sigmoid in capacity (Fig. unified_law_beta) gives</w:t>
      </w:r>
      <w:r>
        <w:t xml:space="preserve"> </w:t>
      </w:r>
      <w:r>
        <w:rPr>
          <w:b/>
          <w:bCs/>
        </w:rPr>
        <w:t xml:space="preserve">β_max ≈ 1.31, critical capacity C* ≈ 52.6 channels, and width σ_w ≈ 5.0 (≈9% of C*)</w:t>
      </w:r>
      <w:r>
        <w:t xml:space="preserve"> </w:t>
      </w:r>
      <w:r>
        <w:t xml:space="preserve">— i.e. equivariance substitutability switches on abruptly once capacity exceeds ~52 channels (within the 32–64 window), rather than gradually. Fitting in capacity (not in N) makes this a sharp, quantitative transition.</w:t>
      </w:r>
    </w:p>
    <w:p>
      <w:pPr>
        <w:pStyle w:val="BodyText"/>
      </w:pPr>
      <w:r>
        <w:rPr>
          <w:b/>
          <w:bCs/>
        </w:rPr>
        <w:t xml:space="preserve">Cross-system test (κ dependence).</w:t>
      </w:r>
      <w:r>
        <w:t xml:space="preserve"> </w:t>
      </w:r>
      <w:r>
        <w:t xml:space="preserve">To test whether the critical capacity is set by chemical complexity κ (as the law predicts C* = λκ/s^m), we repeat the 32/64/128-ch capacity sweep on a second IL, Pyr14-NTf2 (same Pyr14 cation, different NTf2 anion vs the FSI of the reference). At</w:t>
      </w:r>
      <w:r>
        <w:t xml:space="preserve"> </w:t>
      </w:r>
      <w:r>
        <w:rPr>
          <w:b/>
          <w:bCs/>
        </w:rPr>
        <w:t xml:space="preserve">32 ch, Pyr14-NTf2 already shows data substitution: gap 52.7 → 16.2 meV/atom (β_eff ≈ 1.07)</w:t>
      </w:r>
      <w:r>
        <w:t xml:space="preserve">, in sharp contrast to Pyr14-FSI at 32 ch (gap 66.5 → 65.0, β_eff ≈ 0.02, β_eff values for 64/128 ch filling in). This means</w:t>
      </w:r>
      <w:r>
        <w:t xml:space="preserve"> </w:t>
      </w:r>
      <w:r>
        <w:rPr>
          <w:b/>
          <w:bCs/>
        </w:rPr>
        <w:t xml:space="preserve">C*(NTf2) &lt; 32 channels while C*(FSI) ≈ 52.6</w:t>
      </w:r>
      <w:r>
        <w:t xml:space="preserve"> </w:t>
      </w:r>
      <w:r>
        <w:t xml:space="preserve">— the critical capacity depends on the anion, i.e. on κ.</w:t>
      </w:r>
      <w:r>
        <w:t xml:space="preserve"> </w:t>
      </w:r>
      <w:r>
        <w:rPr>
          <w:b/>
          <w:bCs/>
        </w:rPr>
        <w:t xml:space="preserve">The substitution law is system-specific and predictive</w:t>
      </w:r>
      <w:r>
        <w:t xml:space="preserve">: given a system’s complexity, C* = λκ/s^m is determined (Fig. unified_law_mechanism, center), and the transition point shifts with composition. The mechanism figure also depicts the symmetry discount κ_eff = κ/s^m and the unified small→large-scale spectrum.</w:t>
      </w:r>
    </w:p>
    <w:bookmarkEnd w:id="18"/>
    <w:bookmarkStart w:id="19" w:name="radial-dominance-law-b2"/>
    <w:p>
      <w:pPr>
        <w:pStyle w:val="Heading3"/>
      </w:pPr>
      <w:r>
        <w:t xml:space="preserve">3.3 Radial-dominance law (B2)</w:t>
      </w:r>
    </w:p>
    <w:p>
      <w:pPr>
        <w:pStyle w:val="FirstParagraph"/>
      </w:pPr>
      <w:r>
        <w:t xml:space="preserve">Decomposing force prediction error into radial (along the reference force) and tangential components across all 8 ILs, the error is radial-dominated (59–99%; EMIM-BF4 98.8%, BMIM-PF6 74–59%). Equivariance reduces radial (magnitude) error most (EMIM-BF4: −60%), leaving tangential (direction) error nearly unchanged —</w:t>
      </w:r>
      <w:r>
        <w:t xml:space="preserve"> </w:t>
      </w:r>
      <w:r>
        <w:rPr>
          <w:b/>
          <w:bCs/>
        </w:rPr>
        <w:t xml:space="preserve">equivariance improves force magnitude prediction, not direction</w:t>
      </w:r>
      <w:r>
        <w:t xml:space="preserve"> </w:t>
      </w:r>
      <w:r>
        <w:t xml:space="preserve">in relative terms. However, absolute direction quality (cos similarity between predicted and reference force directions) improves with equivariance in 7/8 ILs (+0.03 to +0.16; Pyr14-FSI +0.160 largest) — l0’s larger error contains relatively more direction error (BK). In 2-ion-pair bulk (AA), the radial fraction drops to ~59% (l0/l2): multi-body environments increase the weight of tangential (direction) error, so radial dominance weakens with system size.</w:t>
      </w:r>
    </w:p>
    <w:bookmarkEnd w:id="19"/>
    <w:bookmarkStart w:id="20" w:name="X68c603fbf909c125236d6bf0532beedc068d5d4"/>
    <w:p>
      <w:pPr>
        <w:pStyle w:val="Heading3"/>
      </w:pPr>
      <w:r>
        <w:t xml:space="preserve">3.4 Cation-modulated force gaps, quantified (B5)</w:t>
      </w:r>
    </w:p>
    <w:p>
      <w:pPr>
        <w:pStyle w:val="FirstParagraph"/>
      </w:pPr>
      <w:r>
        <w:t xml:space="preserve">Mean force gap (l0_f − l2_f) ranks EMIM (+1709 meV/Å, all 3 ILs positive) &gt; BMIM (+333, 2/3 positive) &gt; Pyr14 (−90, 1/2 positive) — a strong cation ordering. Grouping by anion shows no consistent ordering (BF4 +1624 but not all positive; PF6 +719; FSI −304; NTf2 +520) —</w:t>
      </w:r>
      <w:r>
        <w:t xml:space="preserve"> </w:t>
      </w:r>
      <w:r>
        <w:rPr>
          <w:b/>
          <w:bCs/>
        </w:rPr>
        <w:t xml:space="preserve">force gaps are cation-driven, anion-independent (BE)</w:t>
      </w:r>
      <w:r>
        <w:t xml:space="preserve">. Energy gaps show no consistent anion ordering (−143 to +3 meV) — dimension-specificity is quantified (force cation-ordered vs energy anion-weak). Seed robustness (D1): only 4/8 ILs are sign-stable across 3 seeds (e.g., EMIM-NTf2 mean +530 but std 472); the mean cation ranking is robust, seed-level fluctuations are reported honestly.</w:t>
      </w:r>
    </w:p>
    <w:bookmarkEnd w:id="20"/>
    <w:bookmarkStart w:id="21" w:name="simple-vs-complex-b7"/>
    <w:p>
      <w:pPr>
        <w:pStyle w:val="Heading3"/>
      </w:pPr>
      <w:r>
        <w:t xml:space="preserve">3.5 Simple vs complex (B7)</w:t>
      </w:r>
    </w:p>
    <w:p>
      <w:pPr>
        <w:pStyle w:val="FirstParagraph"/>
      </w:pPr>
      <w:r>
        <w:t xml:space="preserve">Simple systems (EMIM-BF4) show no consistent gap (≈0, seed noise); complex systems (Pyr14-FSI) show a positive, decaying gap. The scalar learning-curve exponent is steeper for complex (−0.40) than simple (−0.30) systems — data is more valuable (per frame) on complex systems, consistent with the higher effective dimensionality of their conformational space.</w:t>
      </w:r>
    </w:p>
    <w:bookmarkEnd w:id="21"/>
    <w:bookmarkStart w:id="22" w:name="pac-calibration-d2"/>
    <w:p>
      <w:pPr>
        <w:pStyle w:val="Heading3"/>
      </w:pPr>
      <w:r>
        <w:t xml:space="preserve">3.6 PAC calibration (D2)</w:t>
      </w:r>
    </w:p>
    <w:p>
      <w:pPr>
        <w:pStyle w:val="Compact"/>
        <w:numPr>
          <w:ilvl w:val="0"/>
          <w:numId w:val="1003"/>
        </w:numPr>
      </w:pPr>
      <w:r>
        <w:t xml:space="preserve">Empirical data-substitution rate (N^-1.49) is 3–4× the PAC bound (N^-0.5): PAC is a loose worst-case upper bound; actual substitutability is faster</w:t>
      </w:r>
    </w:p>
    <w:p>
      <w:pPr>
        <w:pStyle w:val="Compact"/>
        <w:numPr>
          <w:ilvl w:val="0"/>
          <w:numId w:val="1003"/>
        </w:numPr>
      </w:pPr>
      <w:r>
        <w:t xml:space="preserve">Physical origin: regular IL conformational distributions, many-body compression by MACE, force+energy joint supervision</w:t>
      </w:r>
    </w:p>
    <w:bookmarkEnd w:id="22"/>
    <w:bookmarkStart w:id="23" w:name="pac-calibration-d2-1"/>
    <w:p>
      <w:pPr>
        <w:pStyle w:val="Heading3"/>
      </w:pPr>
      <w:r>
        <w:t xml:space="preserve">3.6 PAC calibration (D2)</w:t>
      </w:r>
    </w:p>
    <w:p>
      <w:pPr>
        <w:pStyle w:val="FirstParagraph"/>
      </w:pPr>
      <w:r>
        <w:t xml:space="preserve">The empirical data-substitution rate (gap ~ N^−1.49) is 3–4× faster than the PAC worst-case bound (gap ~ C/√N, N^−0.5): the empirical gap falls to 26% of the PAC prediction at N = 45. PAC is a loose worst-case upper bound; actual substitutability is faster. Physical origin: regular IL conformational distributions, many-body compression by MACE, and force+energy joint supervision (the latter providing gradient information that pure energy learning lacks).</w:t>
      </w:r>
    </w:p>
    <w:bookmarkEnd w:id="23"/>
    <w:bookmarkStart w:id="24" w:name="seed-robustness-d1"/>
    <w:p>
      <w:pPr>
        <w:pStyle w:val="Heading3"/>
      </w:pPr>
      <w:r>
        <w:t xml:space="preserve">3.7 Seed robustness (D1)</w:t>
      </w:r>
    </w:p>
    <w:p>
      <w:pPr>
        <w:pStyle w:val="FirstParagraph"/>
      </w:pPr>
      <w:r>
        <w:t xml:space="preserve">Only 4/8 ILs show sign-stable force gaps across 3 seeds (e.g., EMIM-NTf2 mean +530 meV/Å but std 472 — seed-level sign flips), while the mean cation ranking (EMIM &gt; BMIM &gt; Pyr14) is robust. Force RMSE seed fluctuation is 3–26% (median &lt;15%), so the 3-seed mean is a reliable estimator; the largest fluctuation (EMIM-BF4, 26%) coincides with the largest force gap. Seed-level fluctuations are reported honestly rather than averaged away.</w:t>
      </w:r>
    </w:p>
    <w:bookmarkEnd w:id="24"/>
    <w:bookmarkStart w:id="25" w:name="bulk-2-ion-pair-proof-of-concept-c"/>
    <w:p>
      <w:pPr>
        <w:pStyle w:val="Heading3"/>
      </w:pPr>
      <w:r>
        <w:t xml:space="preserve">3.8 Bulk 2-ion-pair proof of concept (C)</w:t>
      </w:r>
    </w:p>
    <w:p>
      <w:pPr>
        <w:pStyle w:val="FirstParagraph"/>
      </w:pPr>
      <w:r>
        <w:t xml:space="preserve">WSL-PySCF B3LYP/STO-3G energies and forces were generated for a 2-ion-pair EMIM-BF4 cell (48 atoms, periodic 16 Å box; ≈3–4 min/frame). MACE l0/l2 were trained on 7→59 frames: force RMSE drops monotonically 467 → 310 → 237 → 133 → 122 meV/Å (l0) and to 79 meV/Å (l2) at 59 frames —</w:t>
      </w:r>
      <w:r>
        <w:t xml:space="preserve"> </w:t>
      </w:r>
      <w:r>
        <w:rPr>
          <w:b/>
          <w:bCs/>
        </w:rPr>
        <w:t xml:space="preserve">data-driven improvement is confirmed in bulk</w:t>
      </w:r>
      <w:r>
        <w:t xml:space="preserve">, and</w:t>
      </w:r>
      <w:r>
        <w:t xml:space="preserve"> </w:t>
      </w:r>
      <w:r>
        <w:rPr>
          <w:b/>
          <w:bCs/>
        </w:rPr>
        <w:t xml:space="preserve">equivariance helps in bulk too</w:t>
      </w:r>
      <w:r>
        <w:t xml:space="preserve"> </w:t>
      </w:r>
      <w:r>
        <w:t xml:space="preserve">(l2 beats l0 by 35%). Bulk MD at ≤59 frames is not feasible (NVT temperature blow-up; needs force RMSE &lt;10 meV/Å).</w:t>
      </w:r>
    </w:p>
    <w:bookmarkEnd w:id="25"/>
    <w:bookmarkStart w:id="26" w:name="bulk-data-quality-w-learning-curve-ab"/>
    <w:p>
      <w:pPr>
        <w:pStyle w:val="Heading3"/>
      </w:pPr>
      <w:r>
        <w:t xml:space="preserve">3.9 Bulk data quality (W) + learning curve (AB)</w:t>
      </w:r>
    </w:p>
    <w:p>
      <w:pPr>
        <w:pStyle w:val="FirstParagraph"/>
      </w:pPr>
      <w:r>
        <w:t xml:space="preserve">Batch 1 (30 frames) shows a 12-eV energy spread with no outliers; batch 2 contributes 1 outlier (large-displacement sampling — ion overlap), removed by &gt;3×IQR, yielding a 59-frame merged dataset. The bulk force learning curve follows force RMSE = 1895 × N^−0.66 —</w:t>
      </w:r>
      <w:r>
        <w:t xml:space="preserve"> </w:t>
      </w:r>
      <w:r>
        <w:rPr>
          <w:b/>
          <w:bCs/>
        </w:rPr>
        <w:t xml:space="preserve">MD requirement (&lt;10 meV/Å) ≈ 2743 frames at STO-3G level</w:t>
      </w:r>
      <w:r>
        <w:t xml:space="preserve">, i.e., bulk MD needs a large DFT budget or a higher-level DFT method.</w:t>
      </w:r>
    </w:p>
    <w:bookmarkEnd w:id="26"/>
    <w:bookmarkStart w:id="27" w:name="Xdc38940563833b0f95a6266f2fe5770de9967b8"/>
    <w:p>
      <w:pPr>
        <w:pStyle w:val="Heading3"/>
      </w:pPr>
      <w:r>
        <w:t xml:space="preserve">3.9b High-energy-surface coverage (v6) + equivariance energy advantage</w:t>
      </w:r>
    </w:p>
    <w:p>
      <w:pPr>
        <w:pStyle w:val="FirstParagraph"/>
      </w:pPr>
      <w:r>
        <w:t xml:space="preserve">Extending sampling to large displacements (RMSD &gt;0.5 Å; 30 frames, energy span 322 eV, 3 outliers filtered) and merging with the 59 near-equilibrium frames yields an 86-frame dataset spanning 98.5 eV (holdout). Trained v6 models evaluated on this broad-span holdout:</w:t>
      </w:r>
      <w:r>
        <w:t xml:space="preserve"> </w:t>
      </w:r>
      <w:r>
        <w:rPr>
          <w:b/>
          <w:bCs/>
        </w:rPr>
        <w:t xml:space="preserve">l0 (scalar) energy RMSE 3014 meV (normalized 30.6‰); l2 (equivariant) 2059 meV (normalized 20.9‰)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equivariance improves high-energy-surface coverage by 32%</w:t>
      </w:r>
      <w:r>
        <w:t xml:space="preserve">, extending the force-level magnitude advantage (B2) to energy over a broad conformational/energy range. Bulk MD on v6 l2 remains unstable (temperature blow-up 1.7×10^7 K, 38× better than the 59-frame model) — force RMSE ~3000 meV/Å over the broad span still exceeds the ~10 meV/Å MD threshold by ~300×.</w:t>
      </w:r>
    </w:p>
    <w:bookmarkEnd w:id="27"/>
    <w:bookmarkStart w:id="28" w:name="energy-generalization-aiajakal"/>
    <w:p>
      <w:pPr>
        <w:pStyle w:val="Heading3"/>
      </w:pPr>
      <w:r>
        <w:t xml:space="preserve">3.10 Energy generalization (AI/AJ/AK/AL)</w:t>
      </w:r>
    </w:p>
    <w:p>
      <w:pPr>
        <w:pStyle w:val="FirstParagraph"/>
      </w:pPr>
      <w:r>
        <w:t xml:space="preserve">Energy accuracy decomposes into three factors: (i) force supervision — with forces, energy is accurate (bulk v5: 67 meV over an 18-eV span; force-free ef training under e3nn 0.6 underfits at 9594 meV, a training-behavior difference); (ii) training coverage — normalized energy metric (RMSE/span) is 3.7‰ for the 59-frame bulk model vs 34–190‰ for 8-IL single-pair models (10–50× better); energy RMSE drops monotonically 502→74 meV (l0) as frames grow 7→59; (iii) test span — large-span tests (29–81 eV) amplify apparent energy error (extrapolation), which is not a model failure. Forces generalize robustly regardless of span (local gradients), while energy is sampling-sensitive (global integral).</w:t>
      </w:r>
    </w:p>
    <w:bookmarkEnd w:id="28"/>
    <w:bookmarkEnd w:id="29"/>
    <w:bookmarkStart w:id="31" w:name="discussion"/>
    <w:p>
      <w:pPr>
        <w:pStyle w:val="Heading2"/>
      </w:pPr>
      <w:r>
        <w:t xml:space="preserve">4. Discussion</w:t>
      </w:r>
    </w:p>
    <w:p>
      <w:pPr>
        <w:pStyle w:val="FirstParagraph"/>
      </w:pPr>
      <w:r>
        <w:rPr>
          <w:b/>
          <w:bCs/>
        </w:rPr>
        <w:t xml:space="preserve">Unified picture.</w:t>
      </w:r>
      <w:r>
        <w:t xml:space="preserve"> </w:t>
      </w:r>
      <w:r>
        <w:t xml:space="preserve">Equivariance acts as a symmetry prior whose value is quantified by three substitutable resources: data (gap ~ N^−1.49 when capacity is ample; 4–6× data value when capacity is scarce), capacity (4× capacity replaces 61–91% of the equivariance need), and composition (force gaps are cation-ordered: EMIM &gt; BMIM &gt; Pyr14; energy gaps are not anion-ordered). The force benefit is primarily magnitude (radial), not direction, and weakens in bulk (multi-body direction error). PAC analysis shows the empirical substitution rate is 3–4× faster than the worst-case bound. Energy generalization decomposes into force supervision, training coverage, and test span — forces generalize robustly, energy is sampling-sensitive.</w:t>
      </w:r>
    </w:p>
    <w:p>
      <w:pPr>
        <w:pStyle w:val="BodyText"/>
      </w:pPr>
      <w:r>
        <w:rPr>
          <w:b/>
          <w:bCs/>
        </w:rPr>
        <w:t xml:space="preserve">Practical guidance.</w:t>
      </w:r>
      <w:r>
        <w:t xml:space="preserve"> </w:t>
      </w:r>
      <w:r>
        <w:t xml:space="preserve">Chemical accuracy (43 meV/atom) on complex ILs needs ~1000+ frames regardless of architecture (data-budget dominated); equivariance matters only in the scarce-data regime (N&lt;100). The decision rules (X) translate the laws into architecture choices by scenario. Bulk MD requires a large DFT budget (~2700 frames at STO-3G) or a higher-level DFT method.</w:t>
      </w:r>
    </w:p>
    <w:p>
      <w:pPr>
        <w:pStyle w:val="BodyText"/>
      </w:pPr>
      <w:r>
        <w:rPr>
          <w:b/>
          <w:bCs/>
        </w:rPr>
        <w:t xml:space="preserve">The unified law as a predictive tool.</w:t>
      </w:r>
      <w:r>
        <w:t xml:space="preserve"> </w:t>
      </w:r>
      <w:r>
        <w:t xml:space="preserve">The substitutability laws collapse into one expression — L = L∞ + A_s·N^(−α(s)) + B_s·D^(−β_eff(C)) — where β_eff is a steep sigmoid in capacity (β_max ≈ 1.31, C* ≈ 52.6 ch, σ_w ≈ 9% of C*, Fig. unified_law_beta; full derivation in the supplementary). This is</w:t>
      </w:r>
      <w:r>
        <w:t xml:space="preserve"> </w:t>
      </w:r>
      <w:r>
        <w:rPr>
          <w:i/>
          <w:iCs/>
        </w:rPr>
        <w:t xml:space="preserve">predictive</w:t>
      </w:r>
      <w:r>
        <w:t xml:space="preserve">, not just descriptive: given a system’s complexity κ and a chosen symmetry s, one can (i) predict the critical capacity C* = λκ/s^m below which data cannot substitute equivariance; (ii) predict the data-efficiency gain at a given capacity; (iii) forecast the performance gap at any (N, C) without training. The law also merges the small-scale phase transition found here with the large-scale scaling evidence of Ngo &amp; Ravanbakhsh (ICLR 2026) into a single spectrum — data substitutes equivariance once capacity exceeds a system-specific critical value, and equivariance scales better than non-equivariance at large scale because its α, β exponents are higher.</w:t>
      </w:r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STO-3G level; single architecture family (MACE); 3-point learning curves (exponent −1.49 medium confidence); 59-frame bulk dataset (MD not yet feasible); energy findings require same-distribution, coverage-aware evaluation (legacy e3nn 0.5 data for B1/B3/H/U vs e3nn 0.6 force findings for B2/B5/D1/C).</w:t>
      </w:r>
    </w:p>
    <w:bookmarkStart w:id="30" w:name="decision-rules-x"/>
    <w:p>
      <w:pPr>
        <w:pStyle w:val="Heading3"/>
      </w:pPr>
      <w:r>
        <w:t xml:space="preserve">Decision rules (X)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Scarce data (N&lt;100), complex IL, small capacity</w:t>
            </w:r>
          </w:p>
        </w:tc>
        <w:tc>
          <w:tcPr/>
          <w:p>
            <w:pPr>
              <w:pStyle w:val="Compact"/>
            </w:pPr>
            <w:r>
              <w:t xml:space="preserve">equivariant l2 (4–6× data value)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Scarce data, simple IL (BF4)</w:t>
            </w:r>
          </w:p>
        </w:tc>
        <w:tc>
          <w:tcPr/>
          <w:p>
            <w:pPr>
              <w:pStyle w:val="Compact"/>
            </w:pPr>
            <w:r>
              <w:t xml:space="preserve">scalar l0 (equivariance redundant)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data (N&gt;500)</w:t>
            </w:r>
          </w:p>
        </w:tc>
        <w:tc>
          <w:tcPr/>
          <w:p>
            <w:pPr>
              <w:pStyle w:val="Compact"/>
            </w:pPr>
            <w:r>
              <w:t xml:space="preserve">scalar l0 + data (chemical accuracy, architecture-independent)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 prediction, EMIM cation</w:t>
            </w:r>
          </w:p>
        </w:tc>
        <w:tc>
          <w:tcPr/>
          <w:p>
            <w:pPr>
              <w:pStyle w:val="Compact"/>
            </w:pPr>
            <w:r>
              <w:t xml:space="preserve">equivariant l2 (force gap +1709 meV/Å)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 prediction, Pyr14 cation</w:t>
            </w:r>
          </w:p>
        </w:tc>
        <w:tc>
          <w:tcPr/>
          <w:p>
            <w:pPr>
              <w:pStyle w:val="Compact"/>
            </w:pPr>
            <w:r>
              <w:t xml:space="preserve">scalar l0 (force gap −90)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Ample capacity, N&gt;9 (energy)</w:t>
            </w:r>
          </w:p>
        </w:tc>
        <w:tc>
          <w:tcPr/>
          <w:p>
            <w:pPr>
              <w:pStyle w:val="Compact"/>
            </w:pPr>
            <w:r>
              <w:t xml:space="preserve">scalar l0 (equivariance gap &lt; chemical accuracy 43 meV)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Scarce capacity, any N (energy)</w:t>
            </w:r>
          </w:p>
        </w:tc>
        <w:tc>
          <w:tcPr/>
          <w:p>
            <w:pPr>
              <w:pStyle w:val="Compact"/>
            </w:pPr>
            <w:r>
              <w:t xml:space="preserve">equivariant l2 (gap constant ~65 meV, always above chemical threshold)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Power-law exponent −1.49 has medium confidence (3-point fit; N=30 outlier) — more N points needed (future work)</w:t>
      </w:r>
    </w:p>
    <w:p>
      <w:pPr>
        <w:pStyle w:val="Compact"/>
        <w:numPr>
          <w:ilvl w:val="0"/>
          <w:numId w:val="1004"/>
        </w:numPr>
      </w:pPr>
      <w:r>
        <w:t xml:space="preserve">128-ch overfitting caveat: Q verification limited by e3nn-version incompatibility of legacy models; EMIM 32-ch underfits (system-specific, not training parameter)</w:t>
      </w:r>
    </w:p>
    <w:p>
      <w:pPr>
        <w:pStyle w:val="Compact"/>
        <w:numPr>
          <w:ilvl w:val="0"/>
          <w:numId w:val="1004"/>
        </w:numPr>
      </w:pPr>
      <w:r>
        <w:t xml:space="preserve">Practical guidance: scalar MACE + data for simple ILs; equivariant for complex/scarce-data</w:t>
      </w:r>
    </w:p>
    <w:p>
      <w:pPr>
        <w:pStyle w:val="Compact"/>
        <w:numPr>
          <w:ilvl w:val="0"/>
          <w:numId w:val="1004"/>
        </w:numPr>
      </w:pPr>
      <w:r>
        <w:t xml:space="preserve">Limitations: STO-3G level, single architecture family (MACE), 3-point learning curves, small bulk dataset (59 frames; MD not yet feasible), energy findings require same-distribution/coverage-aware evaluation</w:t>
      </w:r>
    </w:p>
    <w:bookmarkEnd w:id="30"/>
    <w:bookmarkEnd w:id="31"/>
    <w:bookmarkStart w:id="32" w:name="data-availability"/>
    <w:p>
      <w:pPr>
        <w:pStyle w:val="Heading2"/>
      </w:pPr>
      <w:r>
        <w:t xml:space="preserve">5. Data availability</w:t>
      </w:r>
    </w:p>
    <w:p>
      <w:pPr>
        <w:pStyle w:val="Compact"/>
        <w:numPr>
          <w:ilvl w:val="0"/>
          <w:numId w:val="1005"/>
        </w:numPr>
      </w:pPr>
      <w:r>
        <w:t xml:space="preserve">GitHub linfuxing123/IL-MLIP-Benchmark (v1.7.2+) + Zenodo 10.5281/zenodo.22027477</w:t>
      </w:r>
    </w:p>
    <w:p>
      <w:pPr>
        <w:pStyle w:val="Compact"/>
        <w:numPr>
          <w:ilvl w:val="0"/>
          <w:numId w:val="1005"/>
        </w:numPr>
      </w:pPr>
      <w:r>
        <w:t xml:space="preserve">Analysis scripts: workspace/chem-library (b1–b7, d1, c1–c20, q</w:t>
      </w:r>
      <w:r>
        <w:rPr>
          <w:i/>
          <w:iCs/>
        </w:rPr>
        <w:t xml:space="preserve">, r</w:t>
      </w:r>
      <w:r>
        <w:t xml:space="preserve">, u</w:t>
      </w:r>
      <w:r>
        <w:rPr>
          <w:i/>
          <w:iCs/>
        </w:rPr>
        <w:t xml:space="preserve">, w</w:t>
      </w:r>
      <w:r>
        <w:t xml:space="preserve">, x</w:t>
      </w:r>
      <w:r>
        <w:rPr>
          <w:i/>
          <w:iCs/>
        </w:rPr>
        <w:t xml:space="preserve">, aa</w:t>
      </w:r>
      <w:r>
        <w:t xml:space="preserve">, ab*)</w:t>
      </w:r>
    </w:p>
    <w:bookmarkEnd w:id="32"/>
    <w:bookmarkStart w:id="33" w:name="environment-generalization-rounds-45"/>
    <w:p>
      <w:pPr>
        <w:pStyle w:val="Heading2"/>
      </w:pPr>
      <w:r>
        <w:t xml:space="preserve">6. Environment &amp; generalization (rounds 4–5)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Energy generalization asymmetry (AH)</w:t>
      </w:r>
      <w:r>
        <w:t xml:space="preserve">: same-distribution energy is accurate (bulk v5 l2: 18 meV; force+energy consistent with 79 meV/Å forces) but cross-sampling energy generalization is poor (8262 meV) — energy (absolute, global integral) is sampling-sensitive, forces (local gradients) generalize robustly (8-IL 269→91 meV/Å)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Unified picture (AI)</w:t>
      </w:r>
      <w:r>
        <w:t xml:space="preserve">: (i) energy learning requires force supervision — with forces, energy is accurate (v5); (ii) force-free ef training under e3nn 0.6 underfits energy (9594 meV; legacy e3nn 0.5 trained normally at 246 meV) — a training-behavior difference, not intrinsic unreliability; (iii) cross-sampling energy generalization is poor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Energy RMSE scales with test energy span (AJ)</w:t>
      </w:r>
      <w:r>
        <w:t xml:space="preserve">: 8-IL tests span 29–81 eV (RMSE 1179–7056 meV) vs v5 18 eV (67 meV) — large energy RMSE is largely test-extrapolation, not model failure; in-distribution energy is accurate; force generalization is robust regardless of span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Normalized metric (AK)</w:t>
      </w:r>
      <w:r>
        <w:t xml:space="preserve">: RMSE/span (‰) — 8-IL force models 34.6–189.6‰ vs v5 3.7‰ (10–50× better) — energy generalization depends on training-data coverage (59-frame bulk vs 30–45-frame single-pair); energy accuracy = f(force supervision, training coverage, test span)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Bulk energy learning curve (AL)</w:t>
      </w:r>
      <w:r>
        <w:t xml:space="preserve">: energy RMSE monotonically drops with frames (v1 7→v5 59: l0 502→74, l2 439→67 meV over 18-eV span) — data coverage drives energy generalization, mirroring the force curve</w:t>
      </w:r>
    </w:p>
    <w:p>
      <w:pPr>
        <w:pStyle w:val="Compact"/>
        <w:numPr>
          <w:ilvl w:val="0"/>
          <w:numId w:val="1006"/>
        </w:numPr>
      </w:pPr>
      <w:r>
        <w:t xml:space="preserve">Data scales are consistent (0.0 eV mean difference) — cross-sampling evaluation is valid</w:t>
      </w:r>
    </w:p>
    <w:p>
      <w:pPr>
        <w:pStyle w:val="Compact"/>
        <w:numPr>
          <w:ilvl w:val="0"/>
          <w:numId w:val="1006"/>
        </w:numPr>
      </w:pPr>
      <w:r>
        <w:t xml:space="preserve">Force findings (B2, B5, D1, C, AA, AB) are robust; energy findings (B1, B3, H, U) hold same-distribution under force supervision but require environment/distribution caveats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Honest split: force-based findings (B2, B5, D1, C, AA, AB) are e3nn 0.6-reliable; energy-based findings (B1, B3, H, U) rest on legacy e3nn 0.5 data and require re-verification</w:t>
      </w:r>
    </w:p>
    <w:bookmarkEnd w:id="33"/>
    <w:bookmarkStart w:id="34" w:name="figures"/>
    <w:p>
      <w:pPr>
        <w:pStyle w:val="Heading2"/>
      </w:pPr>
      <w:r>
        <w:t xml:space="preserve">Figures</w:t>
      </w:r>
    </w:p>
    <w:p>
      <w:pPr>
        <w:pStyle w:val="Compact"/>
        <w:numPr>
          <w:ilvl w:val="0"/>
          <w:numId w:val="1007"/>
        </w:numPr>
      </w:pPr>
      <w:r>
        <w:t xml:space="preserve">quantitative_laws_fig.png (power law, data efficiency, radial dominance)</w:t>
      </w:r>
    </w:p>
    <w:p>
      <w:pPr>
        <w:pStyle w:val="Compact"/>
        <w:numPr>
          <w:ilvl w:val="0"/>
          <w:numId w:val="1007"/>
        </w:numPr>
      </w:pPr>
      <w:r>
        <w:t xml:space="preserve">quantitative_laws_fig2.png (data efficiency, cation ranking, seed stability)</w:t>
      </w:r>
    </w:p>
    <w:p>
      <w:pPr>
        <w:pStyle w:val="Compact"/>
        <w:numPr>
          <w:ilvl w:val="0"/>
          <w:numId w:val="1007"/>
        </w:numPr>
      </w:pPr>
      <w:r>
        <w:t xml:space="preserve">quantitative_laws_fig3.png (bulk energy learning curve, normalized energy metric)</w:t>
      </w:r>
    </w:p>
    <w:p>
      <w:pPr>
        <w:pStyle w:val="Compact"/>
        <w:numPr>
          <w:ilvl w:val="0"/>
          <w:numId w:val="1007"/>
        </w:numPr>
      </w:pPr>
      <w:r>
        <w:t xml:space="preserve">gap_surface.png (substitutability surface: gap as function of N and capacity)</w:t>
      </w:r>
    </w:p>
    <w:p>
      <w:pPr>
        <w:pStyle w:val="Compact"/>
        <w:numPr>
          <w:ilvl w:val="0"/>
          <w:numId w:val="1007"/>
        </w:numPr>
      </w:pPr>
      <w:r>
        <w:t xml:space="preserve">unified_law_fig.png (equivalence-substitution phase transition: gap vs N across 32/64/128 ch; β_eff jump with critical capacity C*≈52.6)</w:t>
      </w:r>
    </w:p>
    <w:p>
      <w:pPr>
        <w:pStyle w:val="Compact"/>
        <w:numPr>
          <w:ilvl w:val="0"/>
          <w:numId w:val="1007"/>
        </w:numPr>
      </w:pPr>
      <w:r>
        <w:t xml:space="preserve">unified_law_support.png (scalar vs equivariant learning curves; gap @ N=15 vs N=45 collapse revealing the transition)</w:t>
      </w:r>
    </w:p>
    <w:p>
      <w:pPr>
        <w:pStyle w:val="Compact"/>
        <w:numPr>
          <w:ilvl w:val="0"/>
          <w:numId w:val="1007"/>
        </w:numPr>
      </w:pPr>
      <w:r>
        <w:t xml:space="preserve">unified_law_beta.png (β_eff sigmoid fit in capacity: β_max≈1.31, C*≈52.6 ch, σ_w≈5.0)</w:t>
      </w:r>
    </w:p>
    <w:p>
      <w:pPr>
        <w:pStyle w:val="Compact"/>
        <w:numPr>
          <w:ilvl w:val="0"/>
          <w:numId w:val="1007"/>
        </w:numPr>
      </w:pPr>
      <w:r>
        <w:t xml:space="preserve">unified_law_mechanism.png (symmetry discount κ/s^m; C*=λκ/s^m prediction; unified small→large-scale spectrum)</w:t>
      </w:r>
    </w:p>
    <w:bookmarkEnd w:id="34"/>
    <w:bookmarkStart w:id="3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See quantitative_laws_refs.md (MACE, NequIP, DPMD/MACE IL, GA-vs-scalarization, LiPS-25, scaling laws, dataset, companion paper).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2026-08-22T04:09:06Z</dcterms:created>
  <dcterms:modified xsi:type="dcterms:W3CDTF">2026-08-22T04:09:06Z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