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[Date]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pleased to submit the manuscript</w:t>
      </w:r>
      <w:r>
        <w:t xml:space="preserve"> </w:t>
      </w:r>
      <w:r>
        <w:t xml:space="preserve">“From property prediction to inverse design: multi-property Pareto screening of ionic-liquid electrolytes under IL-disjoint validation”</w:t>
      </w:r>
      <w:r>
        <w:t xml:space="preserve"> </w:t>
      </w:r>
      <w:r>
        <w:t xml:space="preserve">for consideration in the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.</w:t>
      </w:r>
    </w:p>
    <w:p>
      <w:pPr>
        <w:pStyle w:val="BodyText"/>
      </w:pPr>
      <w:r>
        <w:t xml:space="preserve">The paper addresses a methodological gap in ionic-liquid (IL) chemical informatics: forward prediction of IL properties is well developed, but the inverse problem—selecting an ion pair for a target property profile—remains under-served and is typically validated with random splits that overstate generalization. We present a workflow that (i) uses predictors validated under IL-disjoint (group-level) cross-validation, (ii) cross-checks every proposed candidate with two further, algorithmically distinct models (histogram gradient boosting and a message-passing graph neural network), and (iii) applies multi-objective Pareto screening to the 238,500 cation–anion combinations formed from 795 known cations and 300 known anions, of which only 1,891 have been experimentally reported. The workflow proposes 11 three-model-consistent, unreported, room-temperature-liquid candidates, led by small heterocyclic cations (thiazolium/imidazolium) paired with dicyanamide, with predicted conductivity up to ln κ = 0.64.</w:t>
      </w:r>
    </w:p>
    <w:p>
      <w:pPr>
        <w:pStyle w:val="BodyText"/>
      </w:pPr>
      <w:r>
        <w:t xml:space="preserve">The manuscript also reports, rather than hides, the limits of de novo generation at the available data scale: a character-level VAE trained on ~1,000 ions generates largely chemically unreasonable structures, and latent-space optimization regresses to the known optimum. We argue that data density—not model architecture—is the binding constraint on generative inverse design, a conclusion directly relevant to the JCIM community working on generative molecular design under data scarcity.</w:t>
      </w:r>
    </w:p>
    <w:p>
      <w:pPr>
        <w:pStyle w:val="BodyText"/>
      </w:pPr>
      <w:r>
        <w:t xml:space="preserve">This work is original, has not been published elsewhere, and is not under consideration by another journal. All data, predictors, and code are openly available at https://github.com/linfuxing123/IL-Property-ML and archived on Zenodo (https://doi.org/10.5281/zenodo.21898948).</w:t>
      </w:r>
    </w:p>
    <w:p>
      <w:pPr>
        <w:pStyle w:val="BodyText"/>
      </w:pPr>
      <w:r>
        <w:t xml:space="preserve">I am the sole and corresponding author. 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Fuxing Lin</w:t>
      </w:r>
      <w:r>
        <w:t xml:space="preserve"> </w:t>
      </w:r>
      <w:r>
        <w:t xml:space="preserve">Hunan Institute of Engineering</w:t>
      </w:r>
      <w:r>
        <w:t xml:space="preserve"> </w:t>
      </w:r>
      <w:r>
        <w:t xml:space="preserve">3612411485@qq.com · ORCID 0009-0003-7588-6942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2026-08-14T01:54:20Z</dcterms:created>
  <dcterms:modified xsi:type="dcterms:W3CDTF">2026-08-14T01:54:20Z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