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i w:val="0"/>
          <w:color w:val="000000"/>
          <w:sz w:val="32"/>
        </w:rPr>
        <w:t>Cover Letter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[Date]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Dear Editor,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We are pleased to submit our manuscript, **"Predictor disagreement as a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property-aware diagnostic for distributional bias in materials machine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learning"**, for consideration as a Research Article in [Journal].</w:t>
      </w:r>
    </w:p>
    <w:p>
      <w:r>
        <w:rPr>
          <w:rFonts w:ascii="Times New Roman" w:hAnsi="Times New Roman" w:eastAsia="宋体"/>
          <w:b/>
          <w:i w:val="0"/>
          <w:color w:val="000000"/>
          <w:sz w:val="28"/>
        </w:rPr>
        <w:t>What this paper does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Multi-model agreement is the de facto standard for assessing prediction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reliability in materials machine learning — yet its statistical structure is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rarely examined. Using 1.68 million ionic-liquid (IL) cation–anion pairs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scored by four predictor families (two gradient-boosted trees, a graph neural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network, and an independent ML model) across four properties, we establish a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set of results with direct methodological implications:</w:t>
      </w:r>
    </w:p>
    <w:p>
      <w:pPr>
        <w:ind w:left="720" w:hanging="7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1. 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A variance-decomposition identity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(Cov(m,d) = (Var₁−Var₂)/4 under equal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 variances, verified symbolically and numerically) that separates structural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 from heteroscedastic effects in predictor disagreement.</w:t>
      </w:r>
    </w:p>
    <w:p>
      <w:pPr>
        <w:ind w:left="720" w:hanging="7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2. 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Property-dependent disagreement–performance structure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: conductivity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 </w:t>
      </w:r>
      <w:r>
        <w:rPr>
          <w:rFonts w:ascii="Times New Roman" w:hAnsi="Times New Roman" w:eastAsia="宋体"/>
          <w:b w:val="0"/>
          <w:i/>
          <w:color w:val="000000"/>
          <w:sz w:val="24"/>
        </w:rPr>
        <w:t>saturates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(disagreement shrinks at high predicted values, r ≈ −0.3 to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 −0.5 across all paradigm pairs), while density, melting point, and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 viscosity </w:t>
      </w:r>
      <w:r>
        <w:rPr>
          <w:rFonts w:ascii="Times New Roman" w:hAnsi="Times New Roman" w:eastAsia="宋体"/>
          <w:b w:val="0"/>
          <w:i/>
          <w:color w:val="000000"/>
          <w:sz w:val="24"/>
        </w:rPr>
        <w:t>anti-saturate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(r = +0.15 to +0.27). We reject the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 physical-boundedness explanation and find partial support for a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 training-density-coupling mechanism (Welch t = −7.14, p = 1.1e−12; effect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 concentrated in the high-value regime).</w:t>
      </w:r>
    </w:p>
    <w:p>
      <w:pPr>
        <w:ind w:left="720" w:hanging="72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3. 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A validated diagnostic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: across all four properties, predictor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 disagreement is positively correlated with prediction error (r = +0.15 to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 +0.49; error grows 29–143% across disagreement quartiles) — disagreement is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 a 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label-free diagnostic of prediction unreliability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. Conversely,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 disagreement-penalized ranking provides no gain: its value is diagnostic,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 not prescriptive.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We conclude that disagreement-based diagnostics must be property-aware and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that ensemble consensus must span paradigms (tree + GNN + chemical language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model) to provide independent evidence. These results give immediate,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quantitative guidance for cross-validation practice and active-learning design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in materials informatics.</w:t>
      </w:r>
    </w:p>
    <w:p>
      <w:r>
        <w:rPr>
          <w:rFonts w:ascii="Times New Roman" w:hAnsi="Times New Roman" w:eastAsia="宋体"/>
          <w:b/>
          <w:i w:val="0"/>
          <w:color w:val="000000"/>
          <w:sz w:val="28"/>
        </w:rPr>
        <w:t>Novelty and fit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To our knowledge, this is the first systematic, large-scale (1.68M pairs)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study of the </w:t>
      </w:r>
      <w:r>
        <w:rPr>
          <w:rFonts w:ascii="Times New Roman" w:hAnsi="Times New Roman" w:eastAsia="宋体"/>
          <w:b w:val="0"/>
          <w:i/>
          <w:color w:val="000000"/>
          <w:sz w:val="24"/>
        </w:rPr>
        <w:t>statistical structure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of predictor disagreement in materials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ML, and the first to show its property dependence and label-free diagnostic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value. The variance-decomposition framework is general and transferable beyond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ionic liquids.</w:t>
      </w:r>
    </w:p>
    <w:p>
      <w:r>
        <w:rPr>
          <w:rFonts w:ascii="Times New Roman" w:hAnsi="Times New Roman" w:eastAsia="宋体"/>
          <w:b/>
          <w:i w:val="0"/>
          <w:color w:val="000000"/>
          <w:sz w:val="28"/>
        </w:rPr>
        <w:t>Relation to prior submissions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This methods study builds on two of our submissions under review (refs [1,2])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but is a distinct, standalone contribution: it does not overlap with their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content beyond the shared IL data backbone.</w:t>
      </w:r>
    </w:p>
    <w:p>
      <w:r>
        <w:rPr>
          <w:rFonts w:ascii="Times New Roman" w:hAnsi="Times New Roman" w:eastAsia="宋体"/>
          <w:b/>
          <w:i w:val="0"/>
          <w:color w:val="000000"/>
          <w:sz w:val="28"/>
        </w:rPr>
        <w:t>Availability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All data, code, and models are publicly available at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https://github.com/linfuxing123/IL-Property-ML, release v2.1.0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(https://doi.org/10.5281/zenodo.21941824). No conflicts of interest.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Sincerely,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Fuxing Lin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Hunan Institute of Engineering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ORCID: 0000-0003-7588-6942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Email: 3612411485@qq.com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