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upplementary-materials"/>
    <w:p>
      <w:pPr>
        <w:pStyle w:val="Heading1"/>
      </w:pPr>
      <w:r>
        <w:t xml:space="preserve">Supplementary Materials</w:t>
      </w:r>
    </w:p>
    <w:p>
      <w:pPr>
        <w:pStyle w:val="FirstParagraph"/>
      </w:pPr>
      <w:r>
        <w:t xml:space="preserve">From property prediction to inverse design: multi-property Pareto screening of ionic-liquid electrolytes under IL-disjoint validation</w:t>
      </w:r>
    </w:p>
    <w:bookmarkStart w:id="9" w:name="X988738a80e3b968dc5a9e0f9e10bfffc70f7853"/>
    <w:p>
      <w:pPr>
        <w:pStyle w:val="Heading2"/>
      </w:pPr>
      <w:r>
        <w:t xml:space="preserve">Table S1. Three-model oracle (IL-disjoint 5-fold R²)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GBM R²</w:t>
            </w:r>
          </w:p>
        </w:tc>
        <w:tc>
          <w:tcPr/>
          <w:p>
            <w:pPr>
              <w:pStyle w:val="Compact"/>
            </w:pPr>
            <w:r>
              <w:t xml:space="preserve">HistGBM R²</w:t>
            </w:r>
          </w:p>
        </w:tc>
        <w:tc>
          <w:tcPr/>
          <w:p>
            <w:pPr>
              <w:pStyle w:val="Compact"/>
            </w:pPr>
            <w:r>
              <w:t xml:space="preserve">MPNN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Conductivity (ln κ)</w:t>
            </w:r>
          </w:p>
        </w:tc>
        <w:tc>
          <w:tcPr/>
          <w:p>
            <w:pPr>
              <w:pStyle w:val="Compact"/>
            </w:pPr>
            <w:r>
              <w:t xml:space="preserve">0.740</w:t>
            </w:r>
          </w:p>
        </w:tc>
        <w:tc>
          <w:tcPr/>
          <w:p>
            <w:pPr>
              <w:pStyle w:val="Compact"/>
            </w:pPr>
            <w:r>
              <w:t xml:space="preserve">0.749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0.926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Viscosity (ln η)</w:t>
            </w:r>
          </w:p>
        </w:tc>
        <w:tc>
          <w:tcPr/>
          <w:p>
            <w:pPr>
              <w:pStyle w:val="Compact"/>
            </w:pPr>
            <w:r>
              <w:t xml:space="preserve">0.809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Melting point (K)</w:t>
            </w:r>
          </w:p>
        </w:tc>
        <w:tc>
          <w:tcPr/>
          <w:p>
            <w:pPr>
              <w:pStyle w:val="Compact"/>
            </w:pPr>
            <w:r>
              <w:t xml:space="preserve">0.523</w:t>
            </w:r>
          </w:p>
        </w:tc>
        <w:tc>
          <w:tcPr/>
          <w:p>
            <w:pPr>
              <w:pStyle w:val="Compact"/>
            </w:pPr>
            <w:r>
              <w:t xml:space="preserve">0.561</w:t>
            </w:r>
          </w:p>
        </w:tc>
        <w:tc>
          <w:tcPr/>
          <w:p>
            <w:pPr>
              <w:pStyle w:val="Compact"/>
            </w:pPr>
            <w:r>
              <w:t xml:space="preserve">0.365</w:t>
            </w:r>
          </w:p>
        </w:tc>
      </w:tr>
    </w:tbl>
    <w:bookmarkEnd w:id="9"/>
    <w:bookmarkStart w:id="13" w:name="Xfa1ce3f58a26bd3af53388b53c432305756488f"/>
    <w:p>
      <w:pPr>
        <w:pStyle w:val="Heading2"/>
      </w:pPr>
      <w:r>
        <w:t xml:space="preserve">Table S2. Final unreported candidates (three-model consistent, T_m &lt; 298 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"/>
        <w:gridCol w:w="792"/>
        <w:gridCol w:w="693"/>
        <w:gridCol w:w="1485"/>
        <w:gridCol w:w="990"/>
        <w:gridCol w:w="891"/>
        <w:gridCol w:w="792"/>
        <w:gridCol w:w="1584"/>
        <w:gridCol w:w="3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Cation</w:t>
            </w:r>
          </w:p>
        </w:tc>
        <w:tc>
          <w:tcPr/>
          <w:p>
            <w:pPr>
              <w:pStyle w:val="Compact"/>
            </w:pPr>
            <w:r>
              <w:t xml:space="preserve">Anion</w:t>
            </w:r>
          </w:p>
        </w:tc>
        <w:tc>
          <w:tcPr/>
          <w:p>
            <w:pPr>
              <w:pStyle w:val="Compact"/>
            </w:pPr>
            <w:r>
              <w:t xml:space="preserve">ln κ (G/H/N)</w:t>
            </w:r>
          </w:p>
        </w:tc>
        <w:tc>
          <w:tcPr/>
          <w:p>
            <w:pPr>
              <w:pStyle w:val="Compact"/>
            </w:pPr>
            <w:r>
              <w:t xml:space="preserve">ln η (G)</w:t>
            </w:r>
          </w:p>
        </w:tc>
        <w:tc>
          <w:tcPr/>
          <w:p>
            <w:pPr>
              <w:pStyle w:val="Compact"/>
            </w:pPr>
            <w:r>
              <w:t xml:space="preserve">T_m (G)</w:t>
            </w:r>
          </w:p>
        </w:tc>
        <w:tc>
          <w:tcPr/>
          <w:p>
            <w:pPr>
              <w:pStyle w:val="Compact"/>
            </w:pPr>
            <w:r>
              <w:t xml:space="preserve">ρ (G)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Δlnκ(GBM−GNN)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CC[n+]1ccsc1</w:t>
            </w:r>
          </w:p>
        </w:tc>
        <w:tc>
          <w:tcPr/>
          <w:p>
            <w:pPr>
              <w:pStyle w:val="Compact"/>
            </w:pPr>
            <w:r>
              <w:t xml:space="preserve">N#C[N-]C#N</w:t>
            </w:r>
          </w:p>
        </w:tc>
        <w:tc>
          <w:tcPr/>
          <w:p>
            <w:pPr>
              <w:pStyle w:val="Compact"/>
            </w:pPr>
            <w:r>
              <w:t xml:space="preserve">0.640/0.280/0.434</w:t>
            </w:r>
          </w:p>
        </w:tc>
        <w:tc>
          <w:tcPr/>
          <w:p>
            <w:pPr>
              <w:pStyle w:val="Compact"/>
            </w:pPr>
            <w:r>
              <w:t xml:space="preserve">3.175</w:t>
            </w:r>
          </w:p>
        </w:tc>
        <w:tc>
          <w:tcPr/>
          <w:p>
            <w:pPr>
              <w:pStyle w:val="Compact"/>
            </w:pPr>
            <w:r>
              <w:t xml:space="preserve">274.7</w:t>
            </w:r>
          </w:p>
        </w:tc>
        <w:tc>
          <w:tcPr/>
          <w:p>
            <w:pPr>
              <w:pStyle w:val="Compact"/>
            </w:pPr>
            <w:r>
              <w:t xml:space="preserve">1.175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CC[n+]1ccn(C)c1</w:t>
            </w:r>
          </w:p>
        </w:tc>
        <w:tc>
          <w:tcPr/>
          <w:p>
            <w:pPr>
              <w:pStyle w:val="Compact"/>
            </w:pPr>
            <w:r>
              <w:t xml:space="preserve">N#C[N-]C#N.N#C[N-]C#N</w:t>
            </w:r>
          </w:p>
        </w:tc>
        <w:tc>
          <w:tcPr/>
          <w:p>
            <w:pPr>
              <w:pStyle w:val="Compact"/>
            </w:pPr>
            <w:r>
              <w:t xml:space="preserve">0.630/0.715/0.734</w:t>
            </w:r>
          </w:p>
        </w:tc>
        <w:tc>
          <w:tcPr/>
          <w:p>
            <w:pPr>
              <w:pStyle w:val="Compact"/>
            </w:pPr>
            <w:r>
              <w:t xml:space="preserve">3.585</w:t>
            </w:r>
          </w:p>
        </w:tc>
        <w:tc>
          <w:tcPr/>
          <w:p>
            <w:pPr>
              <w:pStyle w:val="Compact"/>
            </w:pPr>
            <w:r>
              <w:t xml:space="preserve">272.7</w:t>
            </w:r>
          </w:p>
        </w:tc>
        <w:tc>
          <w:tcPr/>
          <w:p>
            <w:pPr>
              <w:pStyle w:val="Compact"/>
            </w:pPr>
            <w:r>
              <w:t xml:space="preserve">1.183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CCn1cc</w:t>
            </w:r>
            <w:hyperlink r:id="rId10">
              <w:r>
                <w:rPr>
                  <w:rStyle w:val="Hyperlink"/>
                </w:rPr>
                <w:t xml:space="preserve">n+</w:t>
              </w:r>
            </w:hyperlink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N#C[N-]C#N.N#C[N-]C#N</w:t>
            </w:r>
          </w:p>
        </w:tc>
        <w:tc>
          <w:tcPr/>
          <w:p>
            <w:pPr>
              <w:pStyle w:val="Compact"/>
            </w:pPr>
            <w:r>
              <w:t xml:space="preserve">0.588/0.634/0.760</w:t>
            </w:r>
          </w:p>
        </w:tc>
        <w:tc>
          <w:tcPr/>
          <w:p>
            <w:pPr>
              <w:pStyle w:val="Compact"/>
            </w:pPr>
            <w:r>
              <w:t xml:space="preserve">3.743</w:t>
            </w:r>
          </w:p>
        </w:tc>
        <w:tc>
          <w:tcPr/>
          <w:p>
            <w:pPr>
              <w:pStyle w:val="Compact"/>
            </w:pPr>
            <w:r>
              <w:t xml:space="preserve">270.0</w:t>
            </w:r>
          </w:p>
        </w:tc>
        <w:tc>
          <w:tcPr/>
          <w:p>
            <w:pPr>
              <w:pStyle w:val="Compact"/>
            </w:pPr>
            <w:r>
              <w:t xml:space="preserve">1.183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CCn1cc</w:t>
            </w:r>
            <w:hyperlink r:id="rId11">
              <w:r>
                <w:rPr>
                  <w:rStyle w:val="Hyperlink"/>
                </w:rPr>
                <w:t xml:space="preserve">n+</w:t>
              </w:r>
            </w:hyperlink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N#C[N-]C#N</w:t>
            </w:r>
          </w:p>
        </w:tc>
        <w:tc>
          <w:tcPr/>
          <w:p>
            <w:pPr>
              <w:pStyle w:val="Compact"/>
            </w:pPr>
            <w:r>
              <w:t xml:space="preserve">0.511/0.493/0.326</w:t>
            </w:r>
          </w:p>
        </w:tc>
        <w:tc>
          <w:tcPr/>
          <w:p>
            <w:pPr>
              <w:pStyle w:val="Compact"/>
            </w:pPr>
            <w:r>
              <w:t xml:space="preserve">3.112</w:t>
            </w:r>
          </w:p>
        </w:tc>
        <w:tc>
          <w:tcPr/>
          <w:p>
            <w:pPr>
              <w:pStyle w:val="Compact"/>
            </w:pPr>
            <w:r>
              <w:t xml:space="preserve">267.0</w:t>
            </w:r>
          </w:p>
        </w:tc>
        <w:tc>
          <w:tcPr/>
          <w:p>
            <w:pPr>
              <w:pStyle w:val="Compact"/>
            </w:pPr>
            <w:r>
              <w:t xml:space="preserve">1.111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CC[n+]1cc[nH]c1</w:t>
            </w:r>
          </w:p>
        </w:tc>
        <w:tc>
          <w:tcPr/>
          <w:p>
            <w:pPr>
              <w:pStyle w:val="Compact"/>
            </w:pPr>
            <w:r>
              <w:t xml:space="preserve">N#C[N-]C#N</w:t>
            </w:r>
          </w:p>
        </w:tc>
        <w:tc>
          <w:tcPr/>
          <w:p>
            <w:pPr>
              <w:pStyle w:val="Compact"/>
            </w:pPr>
            <w:r>
              <w:t xml:space="preserve">0.386/0.383/0.501</w:t>
            </w:r>
          </w:p>
        </w:tc>
        <w:tc>
          <w:tcPr/>
          <w:p>
            <w:pPr>
              <w:pStyle w:val="Compact"/>
            </w:pPr>
            <w:r>
              <w:t xml:space="preserve">3.050</w:t>
            </w:r>
          </w:p>
        </w:tc>
        <w:tc>
          <w:tcPr/>
          <w:p>
            <w:pPr>
              <w:pStyle w:val="Compact"/>
            </w:pPr>
            <w:r>
              <w:t xml:space="preserve">260.2</w:t>
            </w:r>
          </w:p>
        </w:tc>
        <w:tc>
          <w:tcPr/>
          <w:p>
            <w:pPr>
              <w:pStyle w:val="Compact"/>
            </w:pPr>
            <w:r>
              <w:t xml:space="preserve">1.158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CCn1cn</w:t>
            </w:r>
            <w:hyperlink r:id="rId10">
              <w:r>
                <w:rPr>
                  <w:rStyle w:val="Hyperlink"/>
                </w:rPr>
                <w:t xml:space="preserve">n+</w:t>
              </w:r>
            </w:hyperlink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N#C[N-]C#N</w:t>
            </w:r>
          </w:p>
        </w:tc>
        <w:tc>
          <w:tcPr/>
          <w:p>
            <w:pPr>
              <w:pStyle w:val="Compact"/>
            </w:pPr>
            <w:r>
              <w:t xml:space="preserve">0.232/0.225/0.430</w:t>
            </w:r>
          </w:p>
        </w:tc>
        <w:tc>
          <w:tcPr/>
          <w:p>
            <w:pPr>
              <w:pStyle w:val="Compact"/>
            </w:pPr>
            <w:r>
              <w:t xml:space="preserve">3.142</w:t>
            </w:r>
          </w:p>
        </w:tc>
        <w:tc>
          <w:tcPr/>
          <w:p>
            <w:pPr>
              <w:pStyle w:val="Compact"/>
            </w:pPr>
            <w:r>
              <w:t xml:space="preserve">260.1</w:t>
            </w:r>
          </w:p>
        </w:tc>
        <w:tc>
          <w:tcPr/>
          <w:p>
            <w:pPr>
              <w:pStyle w:val="Compact"/>
            </w:pPr>
            <w:r>
              <w:t xml:space="preserve">1.139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C[n+]1cn(N)cn1</w:t>
            </w:r>
          </w:p>
        </w:tc>
        <w:tc>
          <w:tcPr/>
          <w:p>
            <w:pPr>
              <w:pStyle w:val="Compact"/>
            </w:pPr>
            <w:r>
              <w:t xml:space="preserve">N#C[N-]C#N</w:t>
            </w:r>
          </w:p>
        </w:tc>
        <w:tc>
          <w:tcPr/>
          <w:p>
            <w:pPr>
              <w:pStyle w:val="Compact"/>
            </w:pPr>
            <w:r>
              <w:t xml:space="preserve">0.138/-0.268/0.332</w:t>
            </w:r>
          </w:p>
        </w:tc>
        <w:tc>
          <w:tcPr/>
          <w:p>
            <w:pPr>
              <w:pStyle w:val="Compact"/>
            </w:pPr>
            <w:r>
              <w:t xml:space="preserve">2.988</w:t>
            </w:r>
          </w:p>
        </w:tc>
        <w:tc>
          <w:tcPr/>
          <w:p>
            <w:pPr>
              <w:pStyle w:val="Compact"/>
            </w:pPr>
            <w:r>
              <w:t xml:space="preserve">273.4</w:t>
            </w:r>
          </w:p>
        </w:tc>
        <w:tc>
          <w:tcPr/>
          <w:p>
            <w:pPr>
              <w:pStyle w:val="Compact"/>
            </w:pPr>
            <w:r>
              <w:t xml:space="preserve">1.212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CC[n+]1cc[nH]c1</w:t>
            </w:r>
          </w:p>
        </w:tc>
        <w:tc>
          <w:tcPr/>
          <w:p>
            <w:pPr>
              <w:pStyle w:val="Compact"/>
            </w:pPr>
            <w:r>
              <w:t xml:space="preserve">N#C</w:t>
            </w:r>
            <w:hyperlink r:id="rId12">
              <w:r>
                <w:rPr>
                  <w:rStyle w:val="Hyperlink"/>
                </w:rPr>
                <w:t xml:space="preserve">B-</w:t>
              </w:r>
            </w:hyperlink>
            <w:r>
              <w:t xml:space="preserve">(C#N)C#N</w:t>
            </w:r>
          </w:p>
        </w:tc>
        <w:tc>
          <w:tcPr/>
          <w:p>
            <w:pPr>
              <w:pStyle w:val="Compact"/>
            </w:pPr>
            <w:r>
              <w:t xml:space="preserve">0.018/-0.070/0.327</w:t>
            </w:r>
          </w:p>
        </w:tc>
        <w:tc>
          <w:tcPr/>
          <w:p>
            <w:pPr>
              <w:pStyle w:val="Compact"/>
            </w:pPr>
            <w:r>
              <w:t xml:space="preserve">2.973</w:t>
            </w:r>
          </w:p>
        </w:tc>
        <w:tc>
          <w:tcPr/>
          <w:p>
            <w:pPr>
              <w:pStyle w:val="Compact"/>
            </w:pPr>
            <w:r>
              <w:t xml:space="preserve">289.2</w:t>
            </w:r>
          </w:p>
        </w:tc>
        <w:tc>
          <w:tcPr/>
          <w:p>
            <w:pPr>
              <w:pStyle w:val="Compact"/>
            </w:pPr>
            <w:r>
              <w:t xml:space="preserve">1.117</w:t>
            </w:r>
          </w:p>
        </w:tc>
        <w:tc>
          <w:tcPr/>
          <w:p>
            <w:pPr>
              <w:pStyle w:val="Compact"/>
            </w:pPr>
            <w:r>
              <w:t xml:space="preserve">0.310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CC</w:t>
            </w:r>
            <w:hyperlink r:id="rId10">
              <w:r>
                <w:rPr>
                  <w:rStyle w:val="Hyperlink"/>
                </w:rPr>
                <w:t xml:space="preserve">S+</w:t>
              </w:r>
            </w:hyperlink>
            <w: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O=S(=O)([O-])C(F)(F)F.O=S(=O)([O-])C(F)(F)F</w:t>
            </w:r>
          </w:p>
        </w:tc>
        <w:tc>
          <w:tcPr/>
          <w:p>
            <w:pPr>
              <w:pStyle w:val="Compact"/>
            </w:pPr>
            <w:r>
              <w:t xml:space="preserve">-0.954/-0.513/-1.333</w:t>
            </w:r>
          </w:p>
        </w:tc>
        <w:tc>
          <w:tcPr/>
          <w:p>
            <w:pPr>
              <w:pStyle w:val="Compact"/>
            </w:pPr>
            <w:r>
              <w:t xml:space="preserve">4.553</w:t>
            </w:r>
          </w:p>
        </w:tc>
        <w:tc>
          <w:tcPr/>
          <w:p>
            <w:pPr>
              <w:pStyle w:val="Compact"/>
            </w:pPr>
            <w:r>
              <w:t xml:space="preserve">237.5</w:t>
            </w:r>
          </w:p>
        </w:tc>
        <w:tc>
          <w:tcPr/>
          <w:p>
            <w:pPr>
              <w:pStyle w:val="Compact"/>
            </w:pPr>
            <w:r>
              <w:t xml:space="preserve">1.487</w:t>
            </w:r>
          </w:p>
        </w:tc>
        <w:tc>
          <w:tcPr/>
          <w:p>
            <w:pPr>
              <w:pStyle w:val="Compact"/>
            </w:pPr>
            <w:r>
              <w:t xml:space="preserve">0.379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CC</w:t>
            </w:r>
            <w:hyperlink r:id="rId11">
              <w:r>
                <w:rPr>
                  <w:rStyle w:val="Hyperlink"/>
                </w:rPr>
                <w:t xml:space="preserve">S+</w:t>
              </w:r>
            </w:hyperlink>
            <w: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O=S(=O)([O-])C(F)(F)F.O=S(=O)([O-])C(F)(F)F</w:t>
            </w:r>
          </w:p>
        </w:tc>
        <w:tc>
          <w:tcPr/>
          <w:p>
            <w:pPr>
              <w:pStyle w:val="Compact"/>
            </w:pPr>
            <w:r>
              <w:t xml:space="preserve">-0.999/-0.487/-1.323</w:t>
            </w:r>
          </w:p>
        </w:tc>
        <w:tc>
          <w:tcPr/>
          <w:p>
            <w:pPr>
              <w:pStyle w:val="Compact"/>
            </w:pPr>
            <w:r>
              <w:t xml:space="preserve">4.475</w:t>
            </w:r>
          </w:p>
        </w:tc>
        <w:tc>
          <w:tcPr/>
          <w:p>
            <w:pPr>
              <w:pStyle w:val="Compact"/>
            </w:pPr>
            <w:r>
              <w:t xml:space="preserve">240.7</w:t>
            </w:r>
          </w:p>
        </w:tc>
        <w:tc>
          <w:tcPr/>
          <w:p>
            <w:pPr>
              <w:pStyle w:val="Compact"/>
            </w:pPr>
            <w:r>
              <w:t xml:space="preserve">1.468</w:t>
            </w:r>
          </w:p>
        </w:tc>
        <w:tc>
          <w:tcPr/>
          <w:p>
            <w:pPr>
              <w:pStyle w:val="Compact"/>
            </w:pPr>
            <w:r>
              <w:t xml:space="preserve">0.324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CCOCn1cc</w:t>
            </w:r>
            <w:hyperlink r:id="rId10">
              <w:r>
                <w:rPr>
                  <w:rStyle w:val="Hyperlink"/>
                </w:rPr>
                <w:t xml:space="preserve">n+</w:t>
              </w:r>
            </w:hyperlink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O=S(=O)([O-])C(F)(F)F.O=S(=O)([O-])C(F)(F)F</w:t>
            </w:r>
          </w:p>
        </w:tc>
        <w:tc>
          <w:tcPr/>
          <w:p>
            <w:pPr>
              <w:pStyle w:val="Compact"/>
            </w:pPr>
            <w:r>
              <w:t xml:space="preserve">-1.227/-0.895/-1.039</w:t>
            </w:r>
          </w:p>
        </w:tc>
        <w:tc>
          <w:tcPr/>
          <w:p>
            <w:pPr>
              <w:pStyle w:val="Compact"/>
            </w:pPr>
            <w:r>
              <w:t xml:space="preserve">4.427</w:t>
            </w:r>
          </w:p>
        </w:tc>
        <w:tc>
          <w:tcPr/>
          <w:p>
            <w:pPr>
              <w:pStyle w:val="Compact"/>
            </w:pPr>
            <w:r>
              <w:t xml:space="preserve">243.9</w:t>
            </w:r>
          </w:p>
        </w:tc>
        <w:tc>
          <w:tcPr/>
          <w:p>
            <w:pPr>
              <w:pStyle w:val="Compact"/>
            </w:pPr>
            <w:r>
              <w:t xml:space="preserve">1.526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</w:tr>
    </w:tbl>
    <w:bookmarkEnd w:id="13"/>
    <w:bookmarkStart w:id="14" w:name="X1e611dfbc80490b5a4d1ab71045a659edc6880c"/>
    <w:p>
      <w:pPr>
        <w:pStyle w:val="Heading2"/>
      </w:pPr>
      <w:r>
        <w:t xml:space="preserve">Table S3. Scaffold-mutation cation inventory (by core)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Imidazolium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Pyrrolidinium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Sulfonium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Pyridinium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Ammonium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Phosphonium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(novel, charge +1, valid)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272</w:t>
            </w:r>
          </w:p>
        </w:tc>
      </w:tr>
    </w:tbl>
    <w:bookmarkEnd w:id="14"/>
    <w:bookmarkStart w:id="15" w:name="methods-supplement"/>
    <w:p>
      <w:pPr>
        <w:pStyle w:val="Heading2"/>
      </w:pPr>
      <w:r>
        <w:t xml:space="preserve">Methods supplement</w:t>
      </w:r>
    </w:p>
    <w:p>
      <w:pPr>
        <w:pStyle w:val="FirstParagraph"/>
      </w:pPr>
      <w:r>
        <w:rPr>
          <w:b/>
          <w:bCs/>
        </w:rPr>
        <w:t xml:space="preserve">Predictors.</w:t>
      </w:r>
      <w:r>
        <w:t xml:space="preserve"> </w:t>
      </w:r>
      <w:r>
        <w:t xml:space="preserve">GBM (GradientBoostingRegressor, default) and HistGBM</w:t>
      </w:r>
      <w:r>
        <w:t xml:space="preserve"> </w:t>
      </w:r>
      <w:r>
        <w:t xml:space="preserve">(HistGradientBoostingRegressor, max_iter=300) on 458 per-ion RDKit descriptors</w:t>
      </w:r>
      <w:r>
        <w:t xml:space="preserve"> </w:t>
      </w:r>
      <w:r>
        <w:t xml:space="preserve">(+ temperature for temperature-dependent properties); 5-fold GroupKFold on ion-pair</w:t>
      </w:r>
      <w:r>
        <w:t xml:space="preserve"> </w:t>
      </w:r>
      <w:r>
        <w:t xml:space="preserve">identity; final oracles refit on the full 84,077-record dataset.</w:t>
      </w:r>
    </w:p>
    <w:p>
      <w:pPr>
        <w:pStyle w:val="BodyText"/>
      </w:pPr>
      <w:r>
        <w:rPr>
          <w:b/>
          <w:bCs/>
        </w:rPr>
        <w:t xml:space="preserve">Combinatorial screening.</w:t>
      </w:r>
      <w:r>
        <w:t xml:space="preserve"> </w:t>
      </w:r>
      <w:r>
        <w:t xml:space="preserve">795 canonical cations × 300 canonical anions = 238,500</w:t>
      </w:r>
      <w:r>
        <w:t xml:space="preserve"> </w:t>
      </w:r>
      <w:r>
        <w:t xml:space="preserve">pairs, evaluated at 298.15 K by both models. Filters: novelty (not in the 1,891-pair</w:t>
      </w:r>
      <w:r>
        <w:t xml:space="preserve"> </w:t>
      </w:r>
      <w:r>
        <w:t xml:space="preserve">database), predicted T_m &lt; 298 K, |Δ ln κ| &lt; 0.6, |ΔT_m| &lt; 15 K. Multi-objective Pareto</w:t>
      </w:r>
      <w:r>
        <w:t xml:space="preserve"> </w:t>
      </w:r>
      <w:r>
        <w:t xml:space="preserve">front (maximize ln κ; minimize ln η and T_m) by non-dominated sorting.</w:t>
      </w:r>
    </w:p>
    <w:p>
      <w:pPr>
        <w:pStyle w:val="BodyText"/>
      </w:pPr>
      <w:r>
        <w:rPr>
          <w:b/>
          <w:bCs/>
        </w:rPr>
        <w:t xml:space="preserve">Scaffold mutation.</w:t>
      </w:r>
      <w:r>
        <w:t xml:space="preserve"> </w:t>
      </w:r>
      <w:r>
        <w:t xml:space="preserve">Six cation cores (imidazolium, pyridinium, pyrrolidinium,</w:t>
      </w:r>
      <w:r>
        <w:t xml:space="preserve"> </w:t>
      </w:r>
      <w:r>
        <w:t xml:space="preserve">ammonium, phosphonium, sulfonium) mutated across C1–C8 alkyl, methoxy/ethoxyethyl,</w:t>
      </w:r>
      <w:r>
        <w:t xml:space="preserve"> </w:t>
      </w:r>
      <w:r>
        <w:t xml:space="preserve">and hydroxyethyl substituents; RDKit-validated for valence and +1 charge;</w:t>
      </w:r>
      <w:r>
        <w:t xml:space="preserve"> </w:t>
      </w:r>
      <w:r>
        <w:t xml:space="preserve">novelty enforced against the 867 known cations.</w:t>
      </w:r>
    </w:p>
    <w:p>
      <w:pPr>
        <w:pStyle w:val="BodyText"/>
      </w:pPr>
      <w:r>
        <w:rPr>
          <w:b/>
          <w:bCs/>
        </w:rPr>
        <w:t xml:space="preserve">VAE.</w:t>
      </w:r>
      <w:r>
        <w:t xml:space="preserve"> </w:t>
      </w:r>
      <w:r>
        <w:t xml:space="preserve">Character-level GRU VAE (latent dim 48, max length 80) trained on 860 cations</w:t>
      </w:r>
      <w:r>
        <w:t xml:space="preserve"> </w:t>
      </w:r>
      <w:r>
        <w:t xml:space="preserve">and 356 anions; validity ~10%, correct-charge fraction ~60%.</w:t>
      </w:r>
    </w:p>
    <w:p>
      <w:pPr>
        <w:pStyle w:val="BodyText"/>
      </w:pPr>
      <w:r>
        <w:rPr>
          <w:b/>
          <w:bCs/>
        </w:rPr>
        <w:t xml:space="preserve">Latent optimization.</w:t>
      </w:r>
      <w:r>
        <w:t xml:space="preserve"> </w:t>
      </w:r>
      <w:r>
        <w:t xml:space="preserve">(μ, λ) evolutionary strategy in the 48-d latent space against</w:t>
      </w:r>
      <w:r>
        <w:t xml:space="preserve"> </w:t>
      </w:r>
      <w:r>
        <w:t xml:space="preserve">the GBM oracle with an SA penalty; converged to 1-ethyl-3-methylimidazolium (the known</w:t>
      </w:r>
      <w:r>
        <w:t xml:space="preserve"> </w:t>
      </w:r>
      <w:r>
        <w:t xml:space="preserve">optimum).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C" TargetMode="External" /><Relationship Type="http://schemas.openxmlformats.org/officeDocument/2006/relationships/hyperlink" Id="rId12" Target="C#N" TargetMode="External" /><Relationship Type="http://schemas.openxmlformats.org/officeDocument/2006/relationships/hyperlink" Id="rId11" Target="C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" TargetMode="External" /><Relationship Type="http://schemas.openxmlformats.org/officeDocument/2006/relationships/hyperlink" Id="rId12" Target="C#N" TargetMode="External" /><Relationship Type="http://schemas.openxmlformats.org/officeDocument/2006/relationships/hyperlink" Id="rId11" Target="C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2026-08-14T01:44:19Z</dcterms:created>
  <dcterms:modified xsi:type="dcterms:W3CDTF">2026-08-14T01:44:19Z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