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3864"/>
          <w:sz w:val="32"/>
        </w:rPr>
        <w:t>IQSEC MÉXICO S.A. DE C.V.</w:t>
        <w:br/>
        <w:t>PROPUESTA TÉCNICA OFICIAL (CASO DE ÉXITO HISTÓRICO)</w:t>
      </w:r>
    </w:p>
    <w:p>
      <w:r>
        <w:rPr>
          <w:rFonts w:ascii="Arial" w:hAnsi="Arial"/>
          <w:i/>
          <w:color w:val="555555"/>
          <w:sz w:val="22"/>
        </w:rPr>
        <w:t>Licitación Pública CFE: Suministro e Implementación de Ciberseguridad Perimetral y Monitoreo SOC</w:t>
      </w:r>
    </w:p>
    <w:p>
      <w:pPr>
        <w:spacing w:after="160"/>
      </w:pPr>
    </w:p>
    <w:p>
      <w:pPr>
        <w:pStyle w:val="Heading1"/>
      </w:pPr>
      <w:r>
        <w:t>1. RESUMEN EJECUTIVO DE LA SOLUCIÓN PROPUESTA</w:t>
      </w:r>
    </w:p>
    <w:p>
      <w:r>
        <w:t>IQSEC México, integrador líder en soluciones de ciberseguridad con más de 15 años de trayectoria en el sector energético mexicano, presenta su propuesta técnica para satisfacer y superar las exigencias del pliego licitatorio de la CFE. Nuestra solución integra tecnología perimetral de próxima generación Fortinet FortiGate 600F en esquema de Alta Disponibilidad Activo/Pasivo, correlación de telemetría con FortiSIEM y la operación de nuestro Centro de Operaciones de Seguridad (SOC) certificado bajo ISO/IEC 27001 y miembros del FIRST.</w:t>
      </w:r>
    </w:p>
    <w:p>
      <w:pPr>
        <w:pStyle w:val="Heading1"/>
      </w:pPr>
      <w:r>
        <w:t>2. MATRIZ DE CUMPLIMIENTO TÉCNICO (SÁBANA DE RESPUESTAS HISTÓRICAS)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Requerimiento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Producto Propuesto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Cumplimiento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Justificación Técnica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Referencia Ficha Técnica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REQ-01: Firewall Throughput &gt;= 120 Gbps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Fortinet FortiGate 600F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b/>
                <w:color w:val="1B7E3B"/>
                <w:sz w:val="17"/>
              </w:rPr>
              <w:t>CUMPLE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Ofrece un throughput de Firewall IPv4 sostenido de 139 Gbps, superando el mínimo requerido de 120 Gbps.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Datasheet FortiGate 600F, Pág. 4, Tabla 'System Performance'.</w:t>
            </w:r>
          </w:p>
        </w:tc>
      </w:tr>
      <w:tr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REQ-02: DPI-SSL Throughput &gt;= 15 Gbps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Fortinet FortiGate 600F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b/>
                <w:color w:val="1B7E3B"/>
                <w:sz w:val="17"/>
              </w:rPr>
              <w:t>CUMPLE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Acredita un throughput de inspección SSL profunda de 17.5 Gbps mediante aceleración de hardware con procesadores de red NP7.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Datasheet FortiGate 600F, Pág. 4, Sección 'SSL Inspection'.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REQ-06: 8x SFP28 25GbE, 4x QSFP28 100GbE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Fortinet FortiGate 600F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b/>
                <w:color w:val="1B7E3B"/>
                <w:sz w:val="17"/>
              </w:rPr>
              <w:t>CUMPLE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Dispone de 4 slots 100GbE QSFP28, 8 slots 25GbE SFP28 y 16 puertos 10GbE SFP+ nativos en chasis.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Datasheet FortiGate 600F, Pág. 2, 'Hardware Interfaces'.</w:t>
            </w:r>
          </w:p>
        </w:tc>
      </w:tr>
      <w:tr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REQ-07: Alta Disponibilidad Activo/Pasivo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Fortinet FortiGate 600F (Cluster HA)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b/>
                <w:color w:val="1B7E3B"/>
                <w:sz w:val="17"/>
              </w:rPr>
              <w:t>CUMPLE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Soporta protocolo FGCP (FortiGate Clustering Protocol) con sincronización de estado de sesiones en tiempo real.</w:t>
            </w:r>
          </w:p>
        </w:tc>
        <w:tc>
          <w:tcPr>
            <w:tcW w:type="dxa" w:w="1872"/>
            <w:shd w:fill="F7F9FC"/>
          </w:tcPr>
          <w:p>
            <w:r>
              <w:rPr>
                <w:rFonts w:ascii="Arial" w:hAnsi="Arial"/>
                <w:sz w:val="17"/>
              </w:rPr>
              <w:t>Manual de Administración FortiOS 7.4, Pág. 88.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REQ-12: Certificación Common Criteria EAL4+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Fortinet FortiOS 7.4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b/>
                <w:color w:val="1B7E3B"/>
                <w:sz w:val="17"/>
              </w:rPr>
              <w:t>CUMPLE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Certificación Common Criteria NDPP con nivel de garantía EAL4+ vigente ante organismo internacional.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7"/>
              </w:rPr>
              <w:t>Certificado CC-2025-081 adjunto en Anexo C.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