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3864"/>
          <w:sz w:val="32"/>
        </w:rPr>
        <w:t>ARQUITECTURA DE REFERENCIA INSTITUCIONAL</w:t>
        <w:br/>
        <w:t>SEGURIDAD PERIMETRAL Y ARQUITECTURA ZERO TRUST (ZTNA)</w:t>
      </w:r>
    </w:p>
    <w:p>
      <w:r>
        <w:rPr>
          <w:rFonts w:ascii="Arial" w:hAnsi="Arial"/>
          <w:i/>
          <w:color w:val="555555"/>
          <w:sz w:val="20"/>
        </w:rPr>
        <w:t>Documento Técnico Oficial — IQSEC Cyber Defense Architecture Group — Versión 3.2</w:t>
      </w:r>
    </w:p>
    <w:p>
      <w:pPr>
        <w:pStyle w:val="Heading1"/>
      </w:pPr>
      <w:r>
        <w:t>1. Principios de la Arquitectura Zero Trust de IQSEC</w:t>
      </w:r>
    </w:p>
    <w:p>
      <w:r>
        <w:t>La arquitectura institucional de IQSEC para clientes gubernamentales y corporativos se sustenta en el principio 'Nunca confiar, siempre verificar'. Esto exige que ningún usuario, dispositivo, flujo de red o carga de trabajo sea considerado seguro por el simple hecho de residir dentro del perímetro físico del centro de datos. Cada solicitud de acceso a recursos de infraestructura crítica (redes SCADA, sistemas transaccionales, bases de datos centrales) debe ser autenticada, autorizada y cifrada de forma continua.</w:t>
      </w:r>
    </w:p>
    <w:p>
      <w:pPr>
        <w:pStyle w:val="Heading1"/>
      </w:pPr>
      <w:r>
        <w:t>2. Criterios de Selección Tecnológica para Next-Generation Firewalls</w:t>
      </w:r>
    </w:p>
    <w:p>
      <w:r>
        <w:t>En licitaciones del sector energía y gobierno federal (CFE, PEMEX, SAT), la solución perimetral de cabecera debe seleccionarse en función de su capacidad de descifrado e inspección profunda SSL/TLS sin generar cuellos de botella de latencia. Para requerimientos de inspección SSL superiores a 15 Gbps con interfaces 100GbE QSFP28, la plataforma de elección recomendada en el catálogo maestro es el FortiGate 600F o superior, complementado con esquemas de clusterización Activo/Pasivo que garantizan disponibilidad de cinco nueves (99.999%).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