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Arial" w:hAnsi="Arial"/>
          <w:b/>
          <w:color w:val="2E74B5"/>
          <w:sz w:val="20"/>
        </w:rPr>
        <w:t>IQSEC MÉXICO — DIRECCIÓN DE PROPUESTAS Y LICITACIONES</w:t>
      </w:r>
    </w:p>
    <w:p>
      <w:r>
        <w:rPr>
          <w:rFonts w:ascii="Arial" w:hAnsi="Arial"/>
          <w:b/>
          <w:color w:val="1F3864"/>
          <w:sz w:val="44"/>
        </w:rPr>
        <w:t>PLANTILLA MAESTRA DE PROPUESTA TÉCNICA</w:t>
      </w:r>
    </w:p>
    <w:p>
      <w:r>
        <w:rPr>
          <w:rFonts w:ascii="Arial" w:hAnsi="Arial"/>
          <w:color w:val="555555"/>
          <w:sz w:val="24"/>
        </w:rPr>
        <w:t>Licitación Pública: {{NUMERO_LICITACION}} | Cliente: {{NOMBRE_CLIENTE}}</w:t>
        <w:br/>
        <w:t>Objeto: {{OBJETO_CONTRATACION}}</w:t>
      </w:r>
    </w:p>
    <w:p>
      <w:r>
        <w:br w:type="page"/>
      </w:r>
    </w:p>
    <w:p>
      <w:pPr>
        <w:pStyle w:val="Heading1"/>
      </w:pPr>
      <w:r>
        <w:t>1. RESUMEN EJECUTIVO Y ENTENDIMIENTO DE LA NECESIDAD</w:t>
      </w:r>
    </w:p>
    <w:p>
      <w:r>
        <w:t>{{RESUMEN_EJECUTIVO_GENERADO_POR_IA}}</w:t>
        <w:br/>
        <w:t>[En esta sección el motor de IA inserta la síntesis de la solución, destacando la propuesta de valor de IQSEC, la comprensión de la infraestructura actual del cliente y el cumplimiento normativo exigido en el pliego de requisitos].</w:t>
      </w:r>
    </w:p>
    <w:p>
      <w:pPr>
        <w:pStyle w:val="Heading1"/>
      </w:pPr>
      <w:r>
        <w:t>2. ARQUITECTURA TÉCNICA PROPUESTA</w:t>
      </w:r>
    </w:p>
    <w:p>
      <w:r>
        <w:t>{{DESCRIPCION_ARQUITECTURA}}</w:t>
        <w:br/>
        <w:t>[Aquí se desglosan los componentes tecnológicos ofertados, topología en Alta Disponibilidad (HA), esquemas de clusterización y dimensionamiento de interfaces de red de alta velocidad].</w:t>
      </w:r>
    </w:p>
    <w:p>
      <w:pPr>
        <w:pStyle w:val="Heading1"/>
      </w:pPr>
      <w:r>
        <w:t>3. MATRIZ DE CUMPLIMIENTO TÉCNICO Y EVIDENCIA</w:t>
      </w:r>
    </w:p>
    <w:p>
      <w:r>
        <w:t>A continuación se presenta la tabla detallada de requerimientos técnicos solventados conforme al catálogo de productos IQSEC: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/>
          </w:tcPr>
          <w:p>
            <w:r>
              <w:rPr>
                <w:b/>
                <w:color w:val="FFFFFF"/>
              </w:rPr>
              <w:t>ID Requerimiento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</w:rPr>
              <w:t>Descripción Oficial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</w:rPr>
              <w:t>Cumplimiento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</w:rPr>
              <w:t>Solución / SKU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</w:rPr>
              <w:t>Cita de Ficha Técnica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{{REQ_ID}}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{{REQ_DESC}}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{{REQ_STATUS}}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{{REQ_SKU}}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{{REQ_EVIDENCE}}</w:t>
            </w:r>
          </w:p>
        </w:tc>
      </w:tr>
    </w:tbl>
    <w:p>
      <w:pPr>
        <w:pStyle w:val="Heading1"/>
      </w:pPr>
      <w:r>
        <w:t>4. METODOLOGÍA DE IMPLEMENTACIÓN Y PLAN DE TRABAJO</w:t>
      </w:r>
    </w:p>
    <w:p>
      <w:r>
        <w:t>{{PLAN_IMPLEMENTACION_METODOLOGIA}}</w:t>
        <w:br/>
        <w:t>[Fases de entrega: 1. Planeación y Levantamiento, 2. Instalación y Montaje, 3. Configuración y Migración de Políticas, 4. Pruebas de Estrés y UAT, 5. Puesta a Punto y Entrega Formal].</w:t>
      </w:r>
    </w:p>
    <w:p>
      <w:pPr>
        <w:pStyle w:val="Heading1"/>
      </w:pPr>
      <w:r>
        <w:t>5. GARANTÍA Y NIVELES DE SERVICIO (SLA)</w:t>
      </w:r>
    </w:p>
    <w:p>
      <w:r>
        <w:t>{{NIVELES_SERVICIO_SLA}}</w:t>
        <w:br/>
        <w:t>[Compromisos de soporte 24x7x365, tiempos de reemplazo RMA de 4 horas en sitio y métricas de atención de incidentes críticos].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