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E3A8A"/>
          <w:sz w:val="56"/>
        </w:rPr>
        <w:t>ONEEXTRACTION</w:t>
      </w:r>
    </w:p>
    <w:p>
      <w:pPr>
        <w:spacing w:before="0" w:after="320"/>
      </w:pPr>
      <w:r>
        <w:rPr>
          <w:rFonts w:ascii="Calibri" w:hAnsi="Calibri"/>
          <w:color w:val="0284C7"/>
          <w:sz w:val="28"/>
        </w:rPr>
        <w:t>Next-Generation Enterprise B2B Data Extraction, Entity Resolution &amp; Decision-Maker Intelligence Engine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100" w:type="dxa"/>
              <w:bottom w:w="100" w:type="dxa"/>
              <w:left w:w="140" w:type="dxa"/>
              <w:right w:w="140" w:type="dxa"/>
            </w:tcMar>
          </w:tcPr>
          <w:p>
            <w:pPr>
              <w:spacing w:before="0" w:after="0"/>
            </w:pPr>
            <w:r>
              <w:rPr>
                <w:b/>
                <w:color w:val="0F172A"/>
                <w:sz w:val="19"/>
              </w:rPr>
              <w:t>Target Audience / Purpose:</w:t>
            </w:r>
          </w:p>
        </w:tc>
        <w:tc>
          <w:tcPr>
            <w:tcW w:type="dxa" w:w="6192"/>
            <w:shd w:fill="FFFFFF"/>
            <w:tcMar>
              <w:top w:w="100" w:type="dxa"/>
              <w:bottom w:w="100" w:type="dxa"/>
              <w:left w:w="140" w:type="dxa"/>
              <w:right w:w="140" w:type="dxa"/>
            </w:tcMar>
          </w:tcPr>
          <w:p>
            <w:pPr>
              <w:spacing w:before="0" w:after="0"/>
            </w:pPr>
            <w:r>
              <w:rPr>
                <w:color w:val="334155"/>
                <w:sz w:val="19"/>
              </w:rPr>
              <w:t>Executive Demonstration: Chief Executive Officer (CEO) &amp; Product/Project Committee (PC)</w:t>
            </w:r>
          </w:p>
        </w:tc>
      </w:tr>
      <w:tr>
        <w:tc>
          <w:tcPr>
            <w:tcW w:type="dxa" w:w="3168"/>
            <w:shd w:fill="F1F5F9"/>
            <w:tcMar>
              <w:top w:w="100" w:type="dxa"/>
              <w:bottom w:w="100" w:type="dxa"/>
              <w:left w:w="140" w:type="dxa"/>
              <w:right w:w="140" w:type="dxa"/>
            </w:tcMar>
          </w:tcPr>
          <w:p>
            <w:pPr>
              <w:spacing w:before="0" w:after="0"/>
            </w:pPr>
            <w:r>
              <w:rPr>
                <w:b/>
                <w:color w:val="0F172A"/>
                <w:sz w:val="19"/>
              </w:rPr>
              <w:t>Project Scope &amp; Geography:</w:t>
            </w:r>
          </w:p>
        </w:tc>
        <w:tc>
          <w:tcPr>
            <w:tcW w:type="dxa" w:w="6192"/>
            <w:shd w:fill="FFFFFF"/>
            <w:tcMar>
              <w:top w:w="100" w:type="dxa"/>
              <w:bottom w:w="100" w:type="dxa"/>
              <w:left w:w="140" w:type="dxa"/>
              <w:right w:w="140" w:type="dxa"/>
            </w:tcMar>
          </w:tcPr>
          <w:p>
            <w:pPr>
              <w:spacing w:before="0" w:after="0"/>
            </w:pPr>
            <w:r>
              <w:rPr>
                <w:color w:val="334155"/>
                <w:sz w:val="19"/>
              </w:rPr>
              <w:t>OneExtraction Proof of Concept (POC) - Mexico &amp; LATAM B2B Corporate Universe</w:t>
            </w:r>
          </w:p>
        </w:tc>
      </w:tr>
      <w:tr>
        <w:tc>
          <w:tcPr>
            <w:tcW w:type="dxa" w:w="3168"/>
            <w:shd w:fill="F1F5F9"/>
            <w:tcMar>
              <w:top w:w="100" w:type="dxa"/>
              <w:bottom w:w="100" w:type="dxa"/>
              <w:left w:w="140" w:type="dxa"/>
              <w:right w:w="140" w:type="dxa"/>
            </w:tcMar>
          </w:tcPr>
          <w:p>
            <w:pPr>
              <w:spacing w:before="0" w:after="0"/>
            </w:pPr>
            <w:r>
              <w:rPr>
                <w:b/>
                <w:color w:val="0F172A"/>
                <w:sz w:val="19"/>
              </w:rPr>
              <w:t>Core Technology Stack:</w:t>
            </w:r>
          </w:p>
        </w:tc>
        <w:tc>
          <w:tcPr>
            <w:tcW w:type="dxa" w:w="6192"/>
            <w:shd w:fill="FFFFFF"/>
            <w:tcMar>
              <w:top w:w="100" w:type="dxa"/>
              <w:bottom w:w="100" w:type="dxa"/>
              <w:left w:w="140" w:type="dxa"/>
              <w:right w:w="140" w:type="dxa"/>
            </w:tcMar>
          </w:tcPr>
          <w:p>
            <w:pPr>
              <w:spacing w:before="0" w:after="0"/>
            </w:pPr>
            <w:r>
              <w:rPr>
                <w:color w:val="334155"/>
                <w:sz w:val="19"/>
              </w:rPr>
              <w:t>Botasaurus Anti-Detection Engine, Python 3.12, 6-Stage Resolution, DNS/MX Lead Probing</w:t>
            </w:r>
          </w:p>
        </w:tc>
      </w:tr>
      <w:tr>
        <w:tc>
          <w:tcPr>
            <w:tcW w:type="dxa" w:w="3168"/>
            <w:shd w:fill="F1F5F9"/>
            <w:tcMar>
              <w:top w:w="100" w:type="dxa"/>
              <w:bottom w:w="100" w:type="dxa"/>
              <w:left w:w="140" w:type="dxa"/>
              <w:right w:w="140" w:type="dxa"/>
            </w:tcMar>
          </w:tcPr>
          <w:p>
            <w:pPr>
              <w:spacing w:before="0" w:after="0"/>
            </w:pPr>
            <w:r>
              <w:rPr>
                <w:b/>
                <w:color w:val="0F172A"/>
                <w:sz w:val="19"/>
              </w:rPr>
              <w:t>Document Status &amp; Date:</w:t>
            </w:r>
          </w:p>
        </w:tc>
        <w:tc>
          <w:tcPr>
            <w:tcW w:type="dxa" w:w="6192"/>
            <w:shd w:fill="FFFFFF"/>
            <w:tcMar>
              <w:top w:w="100" w:type="dxa"/>
              <w:bottom w:w="100" w:type="dxa"/>
              <w:left w:w="140" w:type="dxa"/>
              <w:right w:w="140" w:type="dxa"/>
            </w:tcMar>
          </w:tcPr>
          <w:p>
            <w:pPr>
              <w:spacing w:before="0" w:after="0"/>
            </w:pPr>
            <w:r>
              <w:rPr>
                <w:color w:val="334155"/>
                <w:sz w:val="19"/>
              </w:rPr>
              <w:t>Production-Validated POC Deliverable | September 2026</w:t>
            </w:r>
          </w:p>
        </w:tc>
      </w:tr>
    </w:tbl>
    <w:p>
      <w:pPr>
        <w:spacing w:after="240"/>
      </w:pPr>
    </w:p>
    <w:p>
      <w:pPr>
        <w:keepNext/>
        <w:spacing w:before="360" w:after="120"/>
      </w:pPr>
      <w:r>
        <w:rPr>
          <w:rFonts w:ascii="Calibri" w:hAnsi="Calibri"/>
          <w:b/>
          <w:color w:val="1E3A8A"/>
          <w:sz w:val="32"/>
        </w:rPr>
        <w:t>1.0 Executive Summary &amp; Strategic Business Impact</w:t>
      </w:r>
    </w:p>
    <w:p>
      <w:pPr>
        <w:spacing w:before="0" w:after="160"/>
      </w:pPr>
      <w:r>
        <w:rPr>
          <w:rFonts w:ascii="Calibri" w:hAnsi="Calibri"/>
          <w:color w:val="0284C7"/>
          <w:sz w:val="16"/>
        </w:rPr>
        <w:t>――――――――――――――――――――――――――――――――――――――――――――――――</w:t>
      </w:r>
    </w:p>
    <w:p>
      <w:pPr>
        <w:spacing w:before="0" w:after="120" w:line="276" w:lineRule="auto"/>
      </w:pPr>
      <w:r>
        <w:rPr>
          <w:b/>
          <w:color w:val="0F172A"/>
        </w:rPr>
        <w:t xml:space="preserve">The Vision: </w:t>
      </w:r>
      <w:r>
        <w:rPr>
          <w:color w:val="334155"/>
        </w:rPr>
        <w:t>OneExtraction is an autonomous, high-throughput, enterprise-grade data intelligence engine designed to solve the chronic fragmentation, scarcity, and high cost of commercial B2B data across emerging markets, beginning with Mexico and Latin America (LATAM).</w:t>
      </w:r>
    </w:p>
    <w:p>
      <w:pPr>
        <w:spacing w:before="0" w:after="120" w:line="276" w:lineRule="auto"/>
      </w:pPr>
      <w:r>
        <w:rPr>
          <w:b/>
          <w:color w:val="0F172A"/>
        </w:rPr>
        <w:t xml:space="preserve">The Market Problem: </w:t>
      </w:r>
      <w:r>
        <w:rPr>
          <w:color w:val="334155"/>
        </w:rPr>
        <w:t>With the explosive growth of nearshoring, supply chain relocation, and cross-border trade in Mexico, enterprise sales teams, procurement heads, and risk officers urgently require comprehensive, up-to-date corporate intelligence. However, traditional global data providers (e.g., ZoomInfo, Apollo, Cognism, Dun &amp; Bradstreet) suffer from major blind spots in LATAM—exhibiting less than 20% coverage, stale records, unverified tax IDs, and prohibitive annual licensing fees ($50k–$150k+).</w:t>
      </w:r>
    </w:p>
    <w:p>
      <w:pPr>
        <w:spacing w:before="0" w:after="120" w:line="276" w:lineRule="auto"/>
      </w:pPr>
      <w:r>
        <w:rPr>
          <w:b/>
          <w:color w:val="0F172A"/>
        </w:rPr>
        <w:t xml:space="preserve">The Breakthrough Solution: </w:t>
      </w:r>
      <w:r>
        <w:rPr>
          <w:color w:val="334155"/>
        </w:rPr>
        <w:t>OneExtraction eliminates data vendor dependence by orchestrating an in-house extraction and enrichment pipeline. Powered by the high-performance Botasaurus anti-detection framework, the platform ingests 11+ official government portals, tax authorities (SAT), business registries (SIEM, DENUE), and industrial chambers (CANACINTRA, AmCham, COSMOS, QuimiNet). It normalizes raw records, resolves duplicate entities through a proprietary 6-stage matching engine, identifies C-Suite decision-makers, generates verified corporate emails, and exports unified master datasets ready for instant executive analysis or CRM integration.</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4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EXECUTIVE VALUE SUMMARY</w:t>
              <w:br/>
            </w:r>
            <w:r>
              <w:rPr>
                <w:rFonts w:ascii="Calibri" w:hAnsi="Calibri"/>
                <w:i w:val="0"/>
                <w:color w:val="0F172A"/>
                <w:sz w:val="21"/>
              </w:rPr>
              <w:t>OneExtraction transforms raw, disparate public records into an owned, continuous, and highly accurate corporate intelligence asset. By replacing recurring third-party data subscriptions, OneExtraction delivers 90%+ cost reduction, verified SAT tax compliance, and enriched C-level contact data tailored for immediate revenue generation.</w:t>
            </w:r>
          </w:p>
        </w:tc>
      </w:tr>
    </w:tbl>
    <w:p>
      <w:pPr>
        <w:spacing w:after="120"/>
      </w:pPr>
    </w:p>
    <w:p>
      <w:pPr>
        <w:keepNext/>
        <w:spacing w:before="360" w:after="120"/>
      </w:pPr>
      <w:r>
        <w:rPr>
          <w:rFonts w:ascii="Calibri" w:hAnsi="Calibri"/>
          <w:b/>
          <w:color w:val="1E3A8A"/>
          <w:sz w:val="32"/>
        </w:rPr>
        <w:t>2.0 Platform Architecture &amp; Technical Core</w:t>
      </w:r>
    </w:p>
    <w:p>
      <w:pPr>
        <w:spacing w:before="0" w:after="160"/>
      </w:pPr>
      <w:r>
        <w:rPr>
          <w:rFonts w:ascii="Calibri" w:hAnsi="Calibri"/>
          <w:color w:val="0284C7"/>
          <w:sz w:val="16"/>
        </w:rPr>
        <w:t>――――――――――――――――――――――――――――――――――――――――――――――――</w:t>
      </w:r>
    </w:p>
    <w:p>
      <w:pPr>
        <w:spacing w:before="0" w:after="120" w:line="276" w:lineRule="auto"/>
      </w:pPr>
      <w:r>
        <w:rPr>
          <w:b/>
          <w:color w:val="0F172A"/>
        </w:rPr>
        <w:t xml:space="preserve">Architectural Overview: </w:t>
      </w:r>
      <w:r>
        <w:rPr>
          <w:color w:val="334155"/>
        </w:rPr>
        <w:t>The OneExtraction platform is built on top of the open-source Botasaurus scraping architecture, augmented with a multi-tiered data processing, entity resolution, and executive enrichment pipeline.</w:t>
      </w:r>
    </w:p>
    <w:p>
      <w:pPr>
        <w:keepNext/>
        <w:spacing w:before="280" w:after="80"/>
      </w:pPr>
      <w:r>
        <w:rPr>
          <w:rFonts w:ascii="Calibri" w:hAnsi="Calibri"/>
          <w:b/>
          <w:color w:val="0284C7"/>
          <w:sz w:val="26"/>
        </w:rPr>
        <w:t>2.1 Botasaurus Humane Anti-Detection Automation Engine</w:t>
      </w:r>
    </w:p>
    <w:p>
      <w:pPr>
        <w:pStyle w:val="ListBullet"/>
        <w:spacing w:before="0" w:after="60" w:line="276" w:lineRule="auto"/>
      </w:pPr>
      <w:r>
        <w:rPr>
          <w:b/>
          <w:color w:val="0F172A"/>
        </w:rPr>
        <w:t xml:space="preserve">Humane Driver Integration: </w:t>
      </w:r>
      <w:r>
        <w:rPr>
          <w:color w:val="334155"/>
        </w:rPr>
        <w:t>Human-like mouse movement simulations, realistic typing cadence, and randomized bezier curve trajectories eliminate bot detection flags.</w:t>
      </w:r>
    </w:p>
    <w:p>
      <w:pPr>
        <w:pStyle w:val="ListBullet"/>
        <w:spacing w:before="0" w:after="60" w:line="276" w:lineRule="auto"/>
      </w:pPr>
      <w:r>
        <w:rPr>
          <w:b/>
          <w:color w:val="0F172A"/>
        </w:rPr>
        <w:t xml:space="preserve">WAF &amp; Bot-Wall Evasion: </w:t>
      </w:r>
      <w:r>
        <w:rPr>
          <w:color w:val="334155"/>
        </w:rPr>
        <w:t>Pre-configured CDP (Chrome DevTools Protocol) stealth patches bypass major Web Application Firewalls (Cloudflare Turnstile, DataDome, BrowserScan, Fingerprint.com, Akamai).</w:t>
      </w:r>
    </w:p>
    <w:p>
      <w:pPr>
        <w:pStyle w:val="ListBullet"/>
        <w:spacing w:before="0" w:after="60" w:line="276" w:lineRule="auto"/>
      </w:pPr>
      <w:r>
        <w:rPr>
          <w:b/>
          <w:color w:val="0F172A"/>
        </w:rPr>
        <w:t xml:space="preserve">97% Proxy Cost Optimization: </w:t>
      </w:r>
      <w:r>
        <w:rPr>
          <w:color w:val="334155"/>
        </w:rPr>
        <w:t>Proprietary browser fetch mechanism bypasses heavy browser rendering for static resources, slashing residential and datacenter proxy bandwidth costs by up to 97%.</w:t>
      </w:r>
    </w:p>
    <w:p>
      <w:pPr>
        <w:pStyle w:val="ListBullet"/>
        <w:spacing w:before="0" w:after="60" w:line="276" w:lineRule="auto"/>
      </w:pPr>
      <w:r>
        <w:rPr>
          <w:b/>
          <w:color w:val="0F172A"/>
        </w:rPr>
        <w:t xml:space="preserve">Enterprise Scalability: </w:t>
      </w:r>
      <w:r>
        <w:rPr>
          <w:color w:val="334155"/>
        </w:rPr>
        <w:t>Asynchronous task queues, intelligent worker throttling, memory caching, and SQLite/PostgreSQL state management allow processing millions of records reliably.</w:t>
      </w:r>
    </w:p>
    <w:p>
      <w:pPr>
        <w:keepNext/>
        <w:spacing w:before="280" w:after="80"/>
      </w:pPr>
      <w:r>
        <w:rPr>
          <w:rFonts w:ascii="Calibri" w:hAnsi="Calibri"/>
          <w:b/>
          <w:color w:val="0284C7"/>
          <w:sz w:val="26"/>
        </w:rPr>
        <w:t>2.2 Six-Layer Data Processing Architecture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r>
              <w:rPr>
                <w:b/>
                <w:color w:val="FFFFFF"/>
                <w:sz w:val="20"/>
              </w:rPr>
              <w:t>Layer</w:t>
            </w:r>
          </w:p>
        </w:tc>
        <w:tc>
          <w:tcPr>
            <w:tcW w:type="dxa" w:w="3120"/>
            <w:shd w:fill="1E3A8A"/>
            <w:tcMar>
              <w:top w:w="120" w:type="dxa"/>
              <w:bottom w:w="120" w:type="dxa"/>
              <w:left w:w="140" w:type="dxa"/>
              <w:right w:w="140" w:type="dxa"/>
            </w:tcMar>
          </w:tcPr>
          <w:p>
            <w:r>
              <w:rPr>
                <w:b/>
                <w:color w:val="FFFFFF"/>
                <w:sz w:val="20"/>
              </w:rPr>
              <w:t>Engine Component</w:t>
            </w:r>
          </w:p>
        </w:tc>
        <w:tc>
          <w:tcPr>
            <w:tcW w:type="dxa" w:w="3120"/>
            <w:shd w:fill="1E3A8A"/>
            <w:tcMar>
              <w:top w:w="120" w:type="dxa"/>
              <w:bottom w:w="120" w:type="dxa"/>
              <w:left w:w="140" w:type="dxa"/>
              <w:right w:w="140" w:type="dxa"/>
            </w:tcMar>
          </w:tcPr>
          <w:p>
            <w:r>
              <w:rPr>
                <w:b/>
                <w:color w:val="FFFFFF"/>
                <w:sz w:val="20"/>
              </w:rPr>
              <w:t>Key Functional Responsibilities</w:t>
            </w:r>
          </w:p>
        </w:tc>
      </w:tr>
      <w:tr>
        <w:tc>
          <w:tcPr>
            <w:tcW w:type="dxa" w:w="1584"/>
            <w:shd w:fill="F1F5F9"/>
            <w:tcMar>
              <w:top w:w="100" w:type="dxa"/>
              <w:bottom w:w="100" w:type="dxa"/>
              <w:left w:w="120" w:type="dxa"/>
              <w:right w:w="120" w:type="dxa"/>
            </w:tcMar>
          </w:tcPr>
          <w:p>
            <w:r>
              <w:rPr>
                <w:b/>
                <w:color w:val="1E3A8A"/>
                <w:sz w:val="19"/>
              </w:rPr>
              <w:t>Layer 1</w:t>
            </w:r>
          </w:p>
        </w:tc>
        <w:tc>
          <w:tcPr>
            <w:tcW w:type="dxa" w:w="3168"/>
            <w:shd w:fill="F1F5F9"/>
            <w:tcMar>
              <w:top w:w="100" w:type="dxa"/>
              <w:bottom w:w="100" w:type="dxa"/>
              <w:left w:w="120" w:type="dxa"/>
              <w:right w:w="120" w:type="dxa"/>
            </w:tcMar>
          </w:tcPr>
          <w:p>
            <w:r>
              <w:rPr>
                <w:b/>
                <w:color w:val="0F172A"/>
                <w:sz w:val="19"/>
              </w:rPr>
              <w:t>Multi-Source Connector Ingestion</w:t>
            </w:r>
          </w:p>
        </w:tc>
        <w:tc>
          <w:tcPr>
            <w:tcW w:type="dxa" w:w="4608"/>
            <w:shd w:fill="F1F5F9"/>
            <w:tcMar>
              <w:top w:w="100" w:type="dxa"/>
              <w:bottom w:w="100" w:type="dxa"/>
              <w:left w:w="120" w:type="dxa"/>
              <w:right w:w="120" w:type="dxa"/>
            </w:tcMar>
          </w:tcPr>
          <w:p>
            <w:r>
              <w:rPr>
                <w:color w:val="334155"/>
                <w:sz w:val="18"/>
              </w:rPr>
              <w:t>Parallel ingestion across 11 official APIs, bulk open data, and headless industrial directories with automatic rate limiting and retry backoff.</w:t>
            </w:r>
          </w:p>
        </w:tc>
      </w:tr>
      <w:tr>
        <w:tc>
          <w:tcPr>
            <w:tcW w:type="dxa" w:w="1584"/>
            <w:shd w:fill="FFFFFF"/>
            <w:tcMar>
              <w:top w:w="100" w:type="dxa"/>
              <w:bottom w:w="100" w:type="dxa"/>
              <w:left w:w="120" w:type="dxa"/>
              <w:right w:w="120" w:type="dxa"/>
            </w:tcMar>
          </w:tcPr>
          <w:p>
            <w:r>
              <w:rPr>
                <w:b/>
                <w:color w:val="1E3A8A"/>
                <w:sz w:val="19"/>
              </w:rPr>
              <w:t>Layer 2</w:t>
            </w:r>
          </w:p>
        </w:tc>
        <w:tc>
          <w:tcPr>
            <w:tcW w:type="dxa" w:w="3168"/>
            <w:shd w:fill="FFFFFF"/>
            <w:tcMar>
              <w:top w:w="100" w:type="dxa"/>
              <w:bottom w:w="100" w:type="dxa"/>
              <w:left w:w="120" w:type="dxa"/>
              <w:right w:w="120" w:type="dxa"/>
            </w:tcMar>
          </w:tcPr>
          <w:p>
            <w:r>
              <w:rPr>
                <w:b/>
                <w:color w:val="0F172A"/>
                <w:sz w:val="19"/>
              </w:rPr>
              <w:t>Normalization &amp; Cleansing</w:t>
            </w:r>
          </w:p>
        </w:tc>
        <w:tc>
          <w:tcPr>
            <w:tcW w:type="dxa" w:w="4608"/>
            <w:shd w:fill="FFFFFF"/>
            <w:tcMar>
              <w:top w:w="100" w:type="dxa"/>
              <w:bottom w:w="100" w:type="dxa"/>
              <w:left w:w="120" w:type="dxa"/>
              <w:right w:w="120" w:type="dxa"/>
            </w:tcMar>
          </w:tcPr>
          <w:p>
            <w:r>
              <w:rPr>
                <w:color w:val="334155"/>
                <w:sz w:val="18"/>
              </w:rPr>
              <w:t>Mexican RFC syntax validation (Persona Moral vs. Física), legal suffix stripping (S.A. de C.V., S. de R.L.), phone formatting (10-digit E.164), and address standardizing.</w:t>
            </w:r>
          </w:p>
        </w:tc>
      </w:tr>
      <w:tr>
        <w:tc>
          <w:tcPr>
            <w:tcW w:type="dxa" w:w="1584"/>
            <w:shd w:fill="F1F5F9"/>
            <w:tcMar>
              <w:top w:w="100" w:type="dxa"/>
              <w:bottom w:w="100" w:type="dxa"/>
              <w:left w:w="120" w:type="dxa"/>
              <w:right w:w="120" w:type="dxa"/>
            </w:tcMar>
          </w:tcPr>
          <w:p>
            <w:r>
              <w:rPr>
                <w:b/>
                <w:color w:val="1E3A8A"/>
                <w:sz w:val="19"/>
              </w:rPr>
              <w:t>Layer 3</w:t>
            </w:r>
          </w:p>
        </w:tc>
        <w:tc>
          <w:tcPr>
            <w:tcW w:type="dxa" w:w="3168"/>
            <w:shd w:fill="F1F5F9"/>
            <w:tcMar>
              <w:top w:w="100" w:type="dxa"/>
              <w:bottom w:w="100" w:type="dxa"/>
              <w:left w:w="120" w:type="dxa"/>
              <w:right w:w="120" w:type="dxa"/>
            </w:tcMar>
          </w:tcPr>
          <w:p>
            <w:r>
              <w:rPr>
                <w:b/>
                <w:color w:val="0F172A"/>
                <w:sz w:val="19"/>
              </w:rPr>
              <w:t>6-Stage Entity Resolution</w:t>
            </w:r>
          </w:p>
        </w:tc>
        <w:tc>
          <w:tcPr>
            <w:tcW w:type="dxa" w:w="4608"/>
            <w:shd w:fill="F1F5F9"/>
            <w:tcMar>
              <w:top w:w="100" w:type="dxa"/>
              <w:bottom w:w="100" w:type="dxa"/>
              <w:left w:w="120" w:type="dxa"/>
              <w:right w:w="120" w:type="dxa"/>
            </w:tcMar>
          </w:tcPr>
          <w:p>
            <w:r>
              <w:rPr>
                <w:color w:val="334155"/>
                <w:sz w:val="18"/>
              </w:rPr>
              <w:t>Progressive deterministic &amp; probabilistic matching (Exact RFC, Source ID, Domain, Normalized Name + Geo, Fuzzy Levenshtein + State proximity).</w:t>
            </w:r>
          </w:p>
        </w:tc>
      </w:tr>
      <w:tr>
        <w:tc>
          <w:tcPr>
            <w:tcW w:type="dxa" w:w="1584"/>
            <w:shd w:fill="FFFFFF"/>
            <w:tcMar>
              <w:top w:w="100" w:type="dxa"/>
              <w:bottom w:w="100" w:type="dxa"/>
              <w:left w:w="120" w:type="dxa"/>
              <w:right w:w="120" w:type="dxa"/>
            </w:tcMar>
          </w:tcPr>
          <w:p>
            <w:r>
              <w:rPr>
                <w:b/>
                <w:color w:val="1E3A8A"/>
                <w:sz w:val="19"/>
              </w:rPr>
              <w:t>Layer 4</w:t>
            </w:r>
          </w:p>
        </w:tc>
        <w:tc>
          <w:tcPr>
            <w:tcW w:type="dxa" w:w="3168"/>
            <w:shd w:fill="FFFFFF"/>
            <w:tcMar>
              <w:top w:w="100" w:type="dxa"/>
              <w:bottom w:w="100" w:type="dxa"/>
              <w:left w:w="120" w:type="dxa"/>
              <w:right w:w="120" w:type="dxa"/>
            </w:tcMar>
          </w:tcPr>
          <w:p>
            <w:r>
              <w:rPr>
                <w:b/>
                <w:color w:val="0F172A"/>
                <w:sz w:val="19"/>
              </w:rPr>
              <w:t>Authority Weighted Merging</w:t>
            </w:r>
          </w:p>
        </w:tc>
        <w:tc>
          <w:tcPr>
            <w:tcW w:type="dxa" w:w="4608"/>
            <w:shd w:fill="FFFFFF"/>
            <w:tcMar>
              <w:top w:w="100" w:type="dxa"/>
              <w:bottom w:w="100" w:type="dxa"/>
              <w:left w:w="120" w:type="dxa"/>
              <w:right w:w="120" w:type="dxa"/>
            </w:tcMar>
          </w:tcPr>
          <w:p>
            <w:r>
              <w:rPr>
                <w:color w:val="334155"/>
                <w:sz w:val="18"/>
              </w:rPr>
              <w:t>Preserves end-to-end data provenance while merging multi-source attributes via strict authority hierarchy (RPC 100 &gt; SAT 95 &gt; DENUE 85 &gt; SIEM 80).</w:t>
            </w:r>
          </w:p>
        </w:tc>
      </w:tr>
      <w:tr>
        <w:tc>
          <w:tcPr>
            <w:tcW w:type="dxa" w:w="1584"/>
            <w:shd w:fill="F1F5F9"/>
            <w:tcMar>
              <w:top w:w="100" w:type="dxa"/>
              <w:bottom w:w="100" w:type="dxa"/>
              <w:left w:w="120" w:type="dxa"/>
              <w:right w:w="120" w:type="dxa"/>
            </w:tcMar>
          </w:tcPr>
          <w:p>
            <w:r>
              <w:rPr>
                <w:b/>
                <w:color w:val="1E3A8A"/>
                <w:sz w:val="19"/>
              </w:rPr>
              <w:t>Layer 5</w:t>
            </w:r>
          </w:p>
        </w:tc>
        <w:tc>
          <w:tcPr>
            <w:tcW w:type="dxa" w:w="3168"/>
            <w:shd w:fill="F1F5F9"/>
            <w:tcMar>
              <w:top w:w="100" w:type="dxa"/>
              <w:bottom w:w="100" w:type="dxa"/>
              <w:left w:w="120" w:type="dxa"/>
              <w:right w:w="120" w:type="dxa"/>
            </w:tcMar>
          </w:tcPr>
          <w:p>
            <w:r>
              <w:rPr>
                <w:b/>
                <w:color w:val="0F172A"/>
                <w:sz w:val="19"/>
              </w:rPr>
              <w:t>Executive Lead Enrichment</w:t>
            </w:r>
          </w:p>
        </w:tc>
        <w:tc>
          <w:tcPr>
            <w:tcW w:type="dxa" w:w="4608"/>
            <w:shd w:fill="F1F5F9"/>
            <w:tcMar>
              <w:top w:w="100" w:type="dxa"/>
              <w:bottom w:w="100" w:type="dxa"/>
              <w:left w:w="120" w:type="dxa"/>
              <w:right w:w="120" w:type="dxa"/>
            </w:tcMar>
          </w:tcPr>
          <w:p>
            <w:r>
              <w:rPr>
                <w:color w:val="334155"/>
                <w:sz w:val="18"/>
              </w:rPr>
              <w:t>C-Suite title classification, Hispanic name parsing (paternal/maternal surnames), DNS/MX mail provider detection (M365, Google Workspace), and email permutation deliverability scoring.</w:t>
            </w:r>
          </w:p>
        </w:tc>
      </w:tr>
      <w:tr>
        <w:tc>
          <w:tcPr>
            <w:tcW w:type="dxa" w:w="1584"/>
            <w:shd w:fill="FFFFFF"/>
            <w:tcMar>
              <w:top w:w="100" w:type="dxa"/>
              <w:bottom w:w="100" w:type="dxa"/>
              <w:left w:w="120" w:type="dxa"/>
              <w:right w:w="120" w:type="dxa"/>
            </w:tcMar>
          </w:tcPr>
          <w:p>
            <w:r>
              <w:rPr>
                <w:b/>
                <w:color w:val="1E3A8A"/>
                <w:sz w:val="19"/>
              </w:rPr>
              <w:t>Layer 6</w:t>
            </w:r>
          </w:p>
        </w:tc>
        <w:tc>
          <w:tcPr>
            <w:tcW w:type="dxa" w:w="3168"/>
            <w:shd w:fill="FFFFFF"/>
            <w:tcMar>
              <w:top w:w="100" w:type="dxa"/>
              <w:bottom w:w="100" w:type="dxa"/>
              <w:left w:w="120" w:type="dxa"/>
              <w:right w:w="120" w:type="dxa"/>
            </w:tcMar>
          </w:tcPr>
          <w:p>
            <w:r>
              <w:rPr>
                <w:b/>
                <w:color w:val="0F172A"/>
                <w:sz w:val="19"/>
              </w:rPr>
              <w:t>Compliance &amp; Multi-Format Export</w:t>
            </w:r>
          </w:p>
        </w:tc>
        <w:tc>
          <w:tcPr>
            <w:tcW w:type="dxa" w:w="4608"/>
            <w:shd w:fill="FFFFFF"/>
            <w:tcMar>
              <w:top w:w="100" w:type="dxa"/>
              <w:bottom w:w="100" w:type="dxa"/>
              <w:left w:w="120" w:type="dxa"/>
              <w:right w:w="120" w:type="dxa"/>
            </w:tcMar>
          </w:tcPr>
          <w:p>
            <w:r>
              <w:rPr>
                <w:color w:val="334155"/>
                <w:sz w:val="18"/>
              </w:rPr>
              <w:t>Data quality scoring (0-100), LFPDPPP privacy classification, and instant generation of Master Combined Excel, CSV, JSON, and audit logs.</w:t>
            </w:r>
          </w:p>
        </w:tc>
      </w:tr>
    </w:tbl>
    <w:p>
      <w:pPr>
        <w:spacing w:after="200"/>
      </w:pPr>
    </w:p>
    <w:p>
      <w:pPr>
        <w:keepNext/>
        <w:spacing w:before="360" w:after="120"/>
      </w:pPr>
      <w:r>
        <w:rPr>
          <w:rFonts w:ascii="Calibri" w:hAnsi="Calibri"/>
          <w:b/>
          <w:color w:val="1E3A8A"/>
          <w:sz w:val="32"/>
        </w:rPr>
        <w:t>3.0 Comprehensive Mexican Data Source Ecosystem (11 Sources)</w:t>
      </w:r>
    </w:p>
    <w:p>
      <w:pPr>
        <w:spacing w:before="0" w:after="160"/>
      </w:pPr>
      <w:r>
        <w:rPr>
          <w:rFonts w:ascii="Calibri" w:hAnsi="Calibri"/>
          <w:color w:val="0284C7"/>
          <w:sz w:val="16"/>
        </w:rPr>
        <w:t>――――――――――――――――――――――――――――――――――――――――――――――――</w:t>
      </w:r>
    </w:p>
    <w:p>
      <w:pPr>
        <w:spacing w:before="0" w:after="120" w:line="276" w:lineRule="auto"/>
      </w:pPr>
      <w:r>
        <w:rPr>
          <w:b/>
          <w:color w:val="0F172A"/>
        </w:rPr>
        <w:t xml:space="preserve">Source Coverage: </w:t>
      </w:r>
      <w:r>
        <w:rPr>
          <w:color w:val="334155"/>
        </w:rPr>
        <w:t>OneExtraction harnesses a multi-layered matrix of official Mexican open-data portals, federal tax repositories, and major business/industrial trade directories: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20" w:type="dxa"/>
              <w:right w:w="120" w:type="dxa"/>
            </w:tcMar>
          </w:tcPr>
          <w:p>
            <w:r>
              <w:rPr>
                <w:b/>
                <w:color w:val="FFFFFF"/>
                <w:sz w:val="19"/>
              </w:rPr>
              <w:t>Source Key</w:t>
            </w:r>
          </w:p>
        </w:tc>
        <w:tc>
          <w:tcPr>
            <w:tcW w:type="dxa" w:w="2340"/>
            <w:shd w:fill="1E3A8A"/>
            <w:tcMar>
              <w:top w:w="120" w:type="dxa"/>
              <w:bottom w:w="120" w:type="dxa"/>
              <w:left w:w="120" w:type="dxa"/>
              <w:right w:w="120" w:type="dxa"/>
            </w:tcMar>
          </w:tcPr>
          <w:p>
            <w:r>
              <w:rPr>
                <w:b/>
                <w:color w:val="FFFFFF"/>
                <w:sz w:val="19"/>
              </w:rPr>
              <w:t>Official Name &amp; Entity</w:t>
            </w:r>
          </w:p>
        </w:tc>
        <w:tc>
          <w:tcPr>
            <w:tcW w:type="dxa" w:w="2340"/>
            <w:shd w:fill="1E3A8A"/>
            <w:tcMar>
              <w:top w:w="120" w:type="dxa"/>
              <w:bottom w:w="120" w:type="dxa"/>
              <w:left w:w="120" w:type="dxa"/>
              <w:right w:w="120" w:type="dxa"/>
            </w:tcMar>
          </w:tcPr>
          <w:p>
            <w:r>
              <w:rPr>
                <w:b/>
                <w:color w:val="FFFFFF"/>
                <w:sz w:val="19"/>
              </w:rPr>
              <w:t>Data Type / Access</w:t>
            </w:r>
          </w:p>
        </w:tc>
        <w:tc>
          <w:tcPr>
            <w:tcW w:type="dxa" w:w="2340"/>
            <w:shd w:fill="1E3A8A"/>
            <w:tcMar>
              <w:top w:w="120" w:type="dxa"/>
              <w:bottom w:w="120" w:type="dxa"/>
              <w:left w:w="120" w:type="dxa"/>
              <w:right w:w="120" w:type="dxa"/>
            </w:tcMar>
          </w:tcPr>
          <w:p>
            <w:r>
              <w:rPr>
                <w:b/>
                <w:color w:val="FFFFFF"/>
                <w:sz w:val="19"/>
              </w:rPr>
              <w:t>Priority &amp; Strategic Value</w:t>
            </w:r>
          </w:p>
        </w:tc>
      </w:tr>
      <w:tr>
        <w:tc>
          <w:tcPr>
            <w:tcW w:type="dxa" w:w="1584"/>
            <w:shd w:fill="F1F5F9"/>
            <w:tcMar>
              <w:top w:w="80" w:type="dxa"/>
              <w:bottom w:w="80" w:type="dxa"/>
              <w:left w:w="100" w:type="dxa"/>
              <w:right w:w="100" w:type="dxa"/>
            </w:tcMar>
          </w:tcPr>
          <w:p>
            <w:r>
              <w:rPr>
                <w:b/>
                <w:color w:val="1E3A8A"/>
                <w:sz w:val="17"/>
              </w:rPr>
              <w:t>DENUE</w:t>
            </w:r>
          </w:p>
        </w:tc>
        <w:tc>
          <w:tcPr>
            <w:tcW w:type="dxa" w:w="3024"/>
            <w:shd w:fill="F1F5F9"/>
            <w:tcMar>
              <w:top w:w="80" w:type="dxa"/>
              <w:bottom w:w="80" w:type="dxa"/>
              <w:left w:w="100" w:type="dxa"/>
              <w:right w:w="100" w:type="dxa"/>
            </w:tcMar>
          </w:tcPr>
          <w:p>
            <w:r>
              <w:rPr>
                <w:color w:val="0F172A"/>
                <w:sz w:val="17"/>
              </w:rPr>
              <w:t>INEGI - Directorio Estadístico Nacional de Unidades Económicas</w:t>
            </w:r>
          </w:p>
        </w:tc>
        <w:tc>
          <w:tcPr>
            <w:tcW w:type="dxa" w:w="1872"/>
            <w:shd w:fill="F1F5F9"/>
            <w:tcMar>
              <w:top w:w="80" w:type="dxa"/>
              <w:bottom w:w="80" w:type="dxa"/>
              <w:left w:w="100" w:type="dxa"/>
              <w:right w:w="100" w:type="dxa"/>
            </w:tcMar>
          </w:tcPr>
          <w:p>
            <w:r>
              <w:rPr>
                <w:color w:val="334155"/>
                <w:sz w:val="16"/>
              </w:rPr>
              <w:t>REST API &amp; Bulk Geo-Data</w:t>
            </w:r>
          </w:p>
        </w:tc>
        <w:tc>
          <w:tcPr>
            <w:tcW w:type="dxa" w:w="2880"/>
            <w:shd w:fill="F1F5F9"/>
            <w:tcMar>
              <w:top w:w="80" w:type="dxa"/>
              <w:bottom w:w="80" w:type="dxa"/>
              <w:left w:w="100" w:type="dxa"/>
              <w:right w:w="100" w:type="dxa"/>
            </w:tcMar>
          </w:tcPr>
          <w:p>
            <w:r>
              <w:rPr>
                <w:color w:val="334155"/>
                <w:sz w:val="16"/>
              </w:rPr>
              <w:t>Priority: 90 | 5M+ economic units, SCIAN industry classification, geographic coordinates, employee brackets.</w:t>
            </w:r>
          </w:p>
        </w:tc>
      </w:tr>
      <w:tr>
        <w:tc>
          <w:tcPr>
            <w:tcW w:type="dxa" w:w="1584"/>
            <w:shd w:fill="FFFFFF"/>
            <w:tcMar>
              <w:top w:w="80" w:type="dxa"/>
              <w:bottom w:w="80" w:type="dxa"/>
              <w:left w:w="100" w:type="dxa"/>
              <w:right w:w="100" w:type="dxa"/>
            </w:tcMar>
          </w:tcPr>
          <w:p>
            <w:r>
              <w:rPr>
                <w:b/>
                <w:color w:val="1E3A8A"/>
                <w:sz w:val="17"/>
              </w:rPr>
              <w:t>SIEM</w:t>
            </w:r>
          </w:p>
        </w:tc>
        <w:tc>
          <w:tcPr>
            <w:tcW w:type="dxa" w:w="3024"/>
            <w:shd w:fill="FFFFFF"/>
            <w:tcMar>
              <w:top w:w="80" w:type="dxa"/>
              <w:bottom w:w="80" w:type="dxa"/>
              <w:left w:w="100" w:type="dxa"/>
              <w:right w:w="100" w:type="dxa"/>
            </w:tcMar>
          </w:tcPr>
          <w:p>
            <w:r>
              <w:rPr>
                <w:color w:val="0F172A"/>
                <w:sz w:val="17"/>
              </w:rPr>
              <w:t>Secretaría de Economía - Sistema de Información Empresarial</w:t>
            </w:r>
          </w:p>
        </w:tc>
        <w:tc>
          <w:tcPr>
            <w:tcW w:type="dxa" w:w="1872"/>
            <w:shd w:fill="FFFFFF"/>
            <w:tcMar>
              <w:top w:w="80" w:type="dxa"/>
              <w:bottom w:w="80" w:type="dxa"/>
              <w:left w:w="100" w:type="dxa"/>
              <w:right w:w="100" w:type="dxa"/>
            </w:tcMar>
          </w:tcPr>
          <w:p>
            <w:r>
              <w:rPr>
                <w:color w:val="334155"/>
                <w:sz w:val="16"/>
              </w:rPr>
              <w:t>CKAN Open Data / CSV</w:t>
            </w:r>
          </w:p>
        </w:tc>
        <w:tc>
          <w:tcPr>
            <w:tcW w:type="dxa" w:w="2880"/>
            <w:shd w:fill="FFFFFF"/>
            <w:tcMar>
              <w:top w:w="80" w:type="dxa"/>
              <w:bottom w:w="80" w:type="dxa"/>
              <w:left w:w="100" w:type="dxa"/>
              <w:right w:w="100" w:type="dxa"/>
            </w:tcMar>
          </w:tcPr>
          <w:p>
            <w:r>
              <w:rPr>
                <w:color w:val="334155"/>
                <w:sz w:val="16"/>
              </w:rPr>
              <w:t>Priority: 85 | Authoritative federal business registry, corporate emails, phone numbers, trade names.</w:t>
            </w:r>
          </w:p>
        </w:tc>
      </w:tr>
      <w:tr>
        <w:tc>
          <w:tcPr>
            <w:tcW w:type="dxa" w:w="1584"/>
            <w:shd w:fill="F1F5F9"/>
            <w:tcMar>
              <w:top w:w="80" w:type="dxa"/>
              <w:bottom w:w="80" w:type="dxa"/>
              <w:left w:w="100" w:type="dxa"/>
              <w:right w:w="100" w:type="dxa"/>
            </w:tcMar>
          </w:tcPr>
          <w:p>
            <w:r>
              <w:rPr>
                <w:b/>
                <w:color w:val="1E3A8A"/>
                <w:sz w:val="17"/>
              </w:rPr>
              <w:t>SAT</w:t>
            </w:r>
          </w:p>
        </w:tc>
        <w:tc>
          <w:tcPr>
            <w:tcW w:type="dxa" w:w="3024"/>
            <w:shd w:fill="F1F5F9"/>
            <w:tcMar>
              <w:top w:w="80" w:type="dxa"/>
              <w:bottom w:w="80" w:type="dxa"/>
              <w:left w:w="100" w:type="dxa"/>
              <w:right w:w="100" w:type="dxa"/>
            </w:tcMar>
          </w:tcPr>
          <w:p>
            <w:r>
              <w:rPr>
                <w:color w:val="0F172A"/>
                <w:sz w:val="17"/>
              </w:rPr>
              <w:t>Servicio de Administración Tributaria (Tax Authority)</w:t>
            </w:r>
          </w:p>
        </w:tc>
        <w:tc>
          <w:tcPr>
            <w:tcW w:type="dxa" w:w="1872"/>
            <w:shd w:fill="F1F5F9"/>
            <w:tcMar>
              <w:top w:w="80" w:type="dxa"/>
              <w:bottom w:w="80" w:type="dxa"/>
              <w:left w:w="100" w:type="dxa"/>
              <w:right w:w="100" w:type="dxa"/>
            </w:tcMar>
          </w:tcPr>
          <w:p>
            <w:r>
              <w:rPr>
                <w:color w:val="334155"/>
                <w:sz w:val="16"/>
              </w:rPr>
              <w:t>CSV &amp; RFC Validator</w:t>
            </w:r>
          </w:p>
        </w:tc>
        <w:tc>
          <w:tcPr>
            <w:tcW w:type="dxa" w:w="2880"/>
            <w:shd w:fill="F1F5F9"/>
            <w:tcMar>
              <w:top w:w="80" w:type="dxa"/>
              <w:bottom w:w="80" w:type="dxa"/>
              <w:left w:w="100" w:type="dxa"/>
              <w:right w:w="100" w:type="dxa"/>
            </w:tcMar>
          </w:tcPr>
          <w:p>
            <w:r>
              <w:rPr>
                <w:color w:val="334155"/>
                <w:sz w:val="16"/>
              </w:rPr>
              <w:t>Priority: 95 | Art. 69/69-B tax compliance verification, fraudulent billing / EFOS blacklist screening, RFC validation.</w:t>
            </w:r>
          </w:p>
        </w:tc>
      </w:tr>
      <w:tr>
        <w:tc>
          <w:tcPr>
            <w:tcW w:type="dxa" w:w="1584"/>
            <w:shd w:fill="FFFFFF"/>
            <w:tcMar>
              <w:top w:w="80" w:type="dxa"/>
              <w:bottom w:w="80" w:type="dxa"/>
              <w:left w:w="100" w:type="dxa"/>
              <w:right w:w="100" w:type="dxa"/>
            </w:tcMar>
          </w:tcPr>
          <w:p>
            <w:r>
              <w:rPr>
                <w:b/>
                <w:color w:val="1E3A8A"/>
                <w:sz w:val="17"/>
              </w:rPr>
              <w:t>SUPPLIER</w:t>
            </w:r>
          </w:p>
        </w:tc>
        <w:tc>
          <w:tcPr>
            <w:tcW w:type="dxa" w:w="3024"/>
            <w:shd w:fill="FFFFFF"/>
            <w:tcMar>
              <w:top w:w="80" w:type="dxa"/>
              <w:bottom w:w="80" w:type="dxa"/>
              <w:left w:w="100" w:type="dxa"/>
              <w:right w:w="100" w:type="dxa"/>
            </w:tcMar>
          </w:tcPr>
          <w:p>
            <w:r>
              <w:rPr>
                <w:color w:val="0F172A"/>
                <w:sz w:val="17"/>
              </w:rPr>
              <w:t>CompraNet / SFP (Padrón Único de Proveedores)</w:t>
            </w:r>
          </w:p>
        </w:tc>
        <w:tc>
          <w:tcPr>
            <w:tcW w:type="dxa" w:w="1872"/>
            <w:shd w:fill="FFFFFF"/>
            <w:tcMar>
              <w:top w:w="80" w:type="dxa"/>
              <w:bottom w:w="80" w:type="dxa"/>
              <w:left w:w="100" w:type="dxa"/>
              <w:right w:w="100" w:type="dxa"/>
            </w:tcMar>
          </w:tcPr>
          <w:p>
            <w:r>
              <w:rPr>
                <w:color w:val="334155"/>
                <w:sz w:val="16"/>
              </w:rPr>
              <w:t>CKAN Open Data / CSV</w:t>
            </w:r>
          </w:p>
        </w:tc>
        <w:tc>
          <w:tcPr>
            <w:tcW w:type="dxa" w:w="2880"/>
            <w:shd w:fill="FFFFFF"/>
            <w:tcMar>
              <w:top w:w="80" w:type="dxa"/>
              <w:bottom w:w="80" w:type="dxa"/>
              <w:left w:w="100" w:type="dxa"/>
              <w:right w:w="100" w:type="dxa"/>
            </w:tcMar>
          </w:tcPr>
          <w:p>
            <w:r>
              <w:rPr>
                <w:color w:val="334155"/>
                <w:sz w:val="16"/>
              </w:rPr>
              <w:t>Priority: 80 | Federal government contractor registry, legal representative names, validated corporate RFCs.</w:t>
            </w:r>
          </w:p>
        </w:tc>
      </w:tr>
      <w:tr>
        <w:tc>
          <w:tcPr>
            <w:tcW w:type="dxa" w:w="1584"/>
            <w:shd w:fill="F1F5F9"/>
            <w:tcMar>
              <w:top w:w="80" w:type="dxa"/>
              <w:bottom w:w="80" w:type="dxa"/>
              <w:left w:w="100" w:type="dxa"/>
              <w:right w:w="100" w:type="dxa"/>
            </w:tcMar>
          </w:tcPr>
          <w:p>
            <w:r>
              <w:rPr>
                <w:b/>
                <w:color w:val="1E3A8A"/>
                <w:sz w:val="17"/>
              </w:rPr>
              <w:t>DATOS_GOB</w:t>
            </w:r>
          </w:p>
        </w:tc>
        <w:tc>
          <w:tcPr>
            <w:tcW w:type="dxa" w:w="3024"/>
            <w:shd w:fill="F1F5F9"/>
            <w:tcMar>
              <w:top w:w="80" w:type="dxa"/>
              <w:bottom w:w="80" w:type="dxa"/>
              <w:left w:w="100" w:type="dxa"/>
              <w:right w:w="100" w:type="dxa"/>
            </w:tcMar>
          </w:tcPr>
          <w:p>
            <w:r>
              <w:rPr>
                <w:color w:val="0F172A"/>
                <w:sz w:val="17"/>
              </w:rPr>
              <w:t>Catálogo Nacional de Datos Abiertos (datos.gob.mx)</w:t>
            </w:r>
          </w:p>
        </w:tc>
        <w:tc>
          <w:tcPr>
            <w:tcW w:type="dxa" w:w="1872"/>
            <w:shd w:fill="F1F5F9"/>
            <w:tcMar>
              <w:top w:w="80" w:type="dxa"/>
              <w:bottom w:w="80" w:type="dxa"/>
              <w:left w:w="100" w:type="dxa"/>
              <w:right w:w="100" w:type="dxa"/>
            </w:tcMar>
          </w:tcPr>
          <w:p>
            <w:r>
              <w:rPr>
                <w:color w:val="334155"/>
                <w:sz w:val="16"/>
              </w:rPr>
              <w:t>CKAN API / JSON</w:t>
            </w:r>
          </w:p>
        </w:tc>
        <w:tc>
          <w:tcPr>
            <w:tcW w:type="dxa" w:w="2880"/>
            <w:shd w:fill="F1F5F9"/>
            <w:tcMar>
              <w:top w:w="80" w:type="dxa"/>
              <w:bottom w:w="80" w:type="dxa"/>
              <w:left w:w="100" w:type="dxa"/>
              <w:right w:w="100" w:type="dxa"/>
            </w:tcMar>
          </w:tcPr>
          <w:p>
            <w:r>
              <w:rPr>
                <w:color w:val="334155"/>
                <w:sz w:val="16"/>
              </w:rPr>
              <w:t>Priority: 70 | Centralized open data catalog for cross-referencing public enterprise datasets.</w:t>
            </w:r>
          </w:p>
        </w:tc>
      </w:tr>
      <w:tr>
        <w:tc>
          <w:tcPr>
            <w:tcW w:type="dxa" w:w="1584"/>
            <w:shd w:fill="FFFFFF"/>
            <w:tcMar>
              <w:top w:w="80" w:type="dxa"/>
              <w:bottom w:w="80" w:type="dxa"/>
              <w:left w:w="100" w:type="dxa"/>
              <w:right w:w="100" w:type="dxa"/>
            </w:tcMar>
          </w:tcPr>
          <w:p>
            <w:r>
              <w:rPr>
                <w:b/>
                <w:color w:val="1E3A8A"/>
                <w:sz w:val="17"/>
              </w:rPr>
              <w:t>CANACINTRA</w:t>
            </w:r>
          </w:p>
        </w:tc>
        <w:tc>
          <w:tcPr>
            <w:tcW w:type="dxa" w:w="3024"/>
            <w:shd w:fill="FFFFFF"/>
            <w:tcMar>
              <w:top w:w="80" w:type="dxa"/>
              <w:bottom w:w="80" w:type="dxa"/>
              <w:left w:w="100" w:type="dxa"/>
              <w:right w:w="100" w:type="dxa"/>
            </w:tcMar>
          </w:tcPr>
          <w:p>
            <w:r>
              <w:rPr>
                <w:color w:val="0F172A"/>
                <w:sz w:val="17"/>
              </w:rPr>
              <w:t>Cámara Nacional de la Industria de Transformación</w:t>
            </w:r>
          </w:p>
        </w:tc>
        <w:tc>
          <w:tcPr>
            <w:tcW w:type="dxa" w:w="1872"/>
            <w:shd w:fill="FFFFFF"/>
            <w:tcMar>
              <w:top w:w="80" w:type="dxa"/>
              <w:bottom w:w="80" w:type="dxa"/>
              <w:left w:w="100" w:type="dxa"/>
              <w:right w:w="100" w:type="dxa"/>
            </w:tcMar>
          </w:tcPr>
          <w:p>
            <w:r>
              <w:rPr>
                <w:color w:val="334155"/>
                <w:sz w:val="16"/>
              </w:rPr>
              <w:t>Web Directory / Botasaurus</w:t>
            </w:r>
          </w:p>
        </w:tc>
        <w:tc>
          <w:tcPr>
            <w:tcW w:type="dxa" w:w="2880"/>
            <w:shd w:fill="FFFFFF"/>
            <w:tcMar>
              <w:top w:w="80" w:type="dxa"/>
              <w:bottom w:w="80" w:type="dxa"/>
              <w:left w:w="100" w:type="dxa"/>
              <w:right w:w="100" w:type="dxa"/>
            </w:tcMar>
          </w:tcPr>
          <w:p>
            <w:r>
              <w:rPr>
                <w:color w:val="334155"/>
                <w:sz w:val="16"/>
              </w:rPr>
              <w:t>Priority: 82 | National manufacturing &amp; industrial directory, state chambers (e.g. Morelos), production verticals.</w:t>
            </w:r>
          </w:p>
        </w:tc>
      </w:tr>
      <w:tr>
        <w:tc>
          <w:tcPr>
            <w:tcW w:type="dxa" w:w="1584"/>
            <w:shd w:fill="F1F5F9"/>
            <w:tcMar>
              <w:top w:w="80" w:type="dxa"/>
              <w:bottom w:w="80" w:type="dxa"/>
              <w:left w:w="100" w:type="dxa"/>
              <w:right w:w="100" w:type="dxa"/>
            </w:tcMar>
          </w:tcPr>
          <w:p>
            <w:r>
              <w:rPr>
                <w:b/>
                <w:color w:val="1E3A8A"/>
                <w:sz w:val="17"/>
              </w:rPr>
              <w:t>AMCHAM</w:t>
            </w:r>
          </w:p>
        </w:tc>
        <w:tc>
          <w:tcPr>
            <w:tcW w:type="dxa" w:w="3024"/>
            <w:shd w:fill="F1F5F9"/>
            <w:tcMar>
              <w:top w:w="80" w:type="dxa"/>
              <w:bottom w:w="80" w:type="dxa"/>
              <w:left w:w="100" w:type="dxa"/>
              <w:right w:w="100" w:type="dxa"/>
            </w:tcMar>
          </w:tcPr>
          <w:p>
            <w:r>
              <w:rPr>
                <w:color w:val="0F172A"/>
                <w:sz w:val="17"/>
              </w:rPr>
              <w:t>American Chamber of Commerce in Mexico</w:t>
            </w:r>
          </w:p>
        </w:tc>
        <w:tc>
          <w:tcPr>
            <w:tcW w:type="dxa" w:w="1872"/>
            <w:shd w:fill="F1F5F9"/>
            <w:tcMar>
              <w:top w:w="80" w:type="dxa"/>
              <w:bottom w:w="80" w:type="dxa"/>
              <w:left w:w="100" w:type="dxa"/>
              <w:right w:w="100" w:type="dxa"/>
            </w:tcMar>
          </w:tcPr>
          <w:p>
            <w:r>
              <w:rPr>
                <w:color w:val="334155"/>
                <w:sz w:val="16"/>
              </w:rPr>
              <w:t>Corporate Directory</w:t>
            </w:r>
          </w:p>
        </w:tc>
        <w:tc>
          <w:tcPr>
            <w:tcW w:type="dxa" w:w="2880"/>
            <w:shd w:fill="F1F5F9"/>
            <w:tcMar>
              <w:top w:w="80" w:type="dxa"/>
              <w:bottom w:w="80" w:type="dxa"/>
              <w:left w:w="100" w:type="dxa"/>
              <w:right w:w="100" w:type="dxa"/>
            </w:tcMar>
          </w:tcPr>
          <w:p>
            <w:r>
              <w:rPr>
                <w:color w:val="334155"/>
                <w:sz w:val="16"/>
              </w:rPr>
              <w:t>Priority: 84 | US-Mexico cross-border multinational corporations, tier-1 industrial suppliers, executive contacts.</w:t>
            </w:r>
          </w:p>
        </w:tc>
      </w:tr>
      <w:tr>
        <w:tc>
          <w:tcPr>
            <w:tcW w:type="dxa" w:w="1584"/>
            <w:shd w:fill="FFFFFF"/>
            <w:tcMar>
              <w:top w:w="80" w:type="dxa"/>
              <w:bottom w:w="80" w:type="dxa"/>
              <w:left w:w="100" w:type="dxa"/>
              <w:right w:w="100" w:type="dxa"/>
            </w:tcMar>
          </w:tcPr>
          <w:p>
            <w:r>
              <w:rPr>
                <w:b/>
                <w:color w:val="1E3A8A"/>
                <w:sz w:val="17"/>
              </w:rPr>
              <w:t>COSMOS</w:t>
            </w:r>
          </w:p>
        </w:tc>
        <w:tc>
          <w:tcPr>
            <w:tcW w:type="dxa" w:w="3024"/>
            <w:shd w:fill="FFFFFF"/>
            <w:tcMar>
              <w:top w:w="80" w:type="dxa"/>
              <w:bottom w:w="80" w:type="dxa"/>
              <w:left w:w="100" w:type="dxa"/>
              <w:right w:w="100" w:type="dxa"/>
            </w:tcMar>
          </w:tcPr>
          <w:p>
            <w:r>
              <w:rPr>
                <w:color w:val="0F172A"/>
                <w:sz w:val="17"/>
              </w:rPr>
              <w:t>COSMOS Online B2B Industrial Portal</w:t>
            </w:r>
          </w:p>
        </w:tc>
        <w:tc>
          <w:tcPr>
            <w:tcW w:type="dxa" w:w="1872"/>
            <w:shd w:fill="FFFFFF"/>
            <w:tcMar>
              <w:top w:w="80" w:type="dxa"/>
              <w:bottom w:w="80" w:type="dxa"/>
              <w:left w:w="100" w:type="dxa"/>
              <w:right w:w="100" w:type="dxa"/>
            </w:tcMar>
          </w:tcPr>
          <w:p>
            <w:r>
              <w:rPr>
                <w:color w:val="334155"/>
                <w:sz w:val="16"/>
              </w:rPr>
              <w:t>Web Directory / Botasaurus</w:t>
            </w:r>
          </w:p>
        </w:tc>
        <w:tc>
          <w:tcPr>
            <w:tcW w:type="dxa" w:w="2880"/>
            <w:shd w:fill="FFFFFF"/>
            <w:tcMar>
              <w:top w:w="80" w:type="dxa"/>
              <w:bottom w:w="80" w:type="dxa"/>
              <w:left w:w="100" w:type="dxa"/>
              <w:right w:w="100" w:type="dxa"/>
            </w:tcMar>
          </w:tcPr>
          <w:p>
            <w:r>
              <w:rPr>
                <w:color w:val="334155"/>
                <w:sz w:val="16"/>
              </w:rPr>
              <w:t>Priority: 83 | Premier industrial procurement directory in Mexico, verified supplier profiles, product catalogs.</w:t>
            </w:r>
          </w:p>
        </w:tc>
      </w:tr>
      <w:tr>
        <w:tc>
          <w:tcPr>
            <w:tcW w:type="dxa" w:w="1584"/>
            <w:shd w:fill="F1F5F9"/>
            <w:tcMar>
              <w:top w:w="80" w:type="dxa"/>
              <w:bottom w:w="80" w:type="dxa"/>
              <w:left w:w="100" w:type="dxa"/>
              <w:right w:w="100" w:type="dxa"/>
            </w:tcMar>
          </w:tcPr>
          <w:p>
            <w:r>
              <w:rPr>
                <w:b/>
                <w:color w:val="1E3A8A"/>
                <w:sz w:val="17"/>
              </w:rPr>
              <w:t>QUIMINET</w:t>
            </w:r>
          </w:p>
        </w:tc>
        <w:tc>
          <w:tcPr>
            <w:tcW w:type="dxa" w:w="3024"/>
            <w:shd w:fill="F1F5F9"/>
            <w:tcMar>
              <w:top w:w="80" w:type="dxa"/>
              <w:bottom w:w="80" w:type="dxa"/>
              <w:left w:w="100" w:type="dxa"/>
              <w:right w:w="100" w:type="dxa"/>
            </w:tcMar>
          </w:tcPr>
          <w:p>
            <w:r>
              <w:rPr>
                <w:color w:val="0F172A"/>
                <w:sz w:val="17"/>
              </w:rPr>
              <w:t>QuimiNet B2B Industrial &amp; Chemical Marketplace</w:t>
            </w:r>
          </w:p>
        </w:tc>
        <w:tc>
          <w:tcPr>
            <w:tcW w:type="dxa" w:w="1872"/>
            <w:shd w:fill="F1F5F9"/>
            <w:tcMar>
              <w:top w:w="80" w:type="dxa"/>
              <w:bottom w:w="80" w:type="dxa"/>
              <w:left w:w="100" w:type="dxa"/>
              <w:right w:w="100" w:type="dxa"/>
            </w:tcMar>
          </w:tcPr>
          <w:p>
            <w:r>
              <w:rPr>
                <w:color w:val="334155"/>
                <w:sz w:val="16"/>
              </w:rPr>
              <w:t>Web Directory / Botasaurus</w:t>
            </w:r>
          </w:p>
        </w:tc>
        <w:tc>
          <w:tcPr>
            <w:tcW w:type="dxa" w:w="2880"/>
            <w:shd w:fill="F1F5F9"/>
            <w:tcMar>
              <w:top w:w="80" w:type="dxa"/>
              <w:bottom w:w="80" w:type="dxa"/>
              <w:left w:w="100" w:type="dxa"/>
              <w:right w:w="100" w:type="dxa"/>
            </w:tcMar>
          </w:tcPr>
          <w:p>
            <w:r>
              <w:rPr>
                <w:color w:val="334155"/>
                <w:sz w:val="16"/>
              </w:rPr>
              <w:t>Priority: 81 | Heavy industry, raw materials, chemical and manufacturing vendor database across LATAM.</w:t>
            </w:r>
          </w:p>
        </w:tc>
      </w:tr>
      <w:tr>
        <w:tc>
          <w:tcPr>
            <w:tcW w:type="dxa" w:w="1584"/>
            <w:shd w:fill="FFFFFF"/>
            <w:tcMar>
              <w:top w:w="80" w:type="dxa"/>
              <w:bottom w:w="80" w:type="dxa"/>
              <w:left w:w="100" w:type="dxa"/>
              <w:right w:w="100" w:type="dxa"/>
            </w:tcMar>
          </w:tcPr>
          <w:p>
            <w:r>
              <w:rPr>
                <w:b/>
                <w:color w:val="1E3A8A"/>
                <w:sz w:val="17"/>
              </w:rPr>
              <w:t>SECCION_AMARILLA</w:t>
            </w:r>
          </w:p>
        </w:tc>
        <w:tc>
          <w:tcPr>
            <w:tcW w:type="dxa" w:w="3024"/>
            <w:shd w:fill="FFFFFF"/>
            <w:tcMar>
              <w:top w:w="80" w:type="dxa"/>
              <w:bottom w:w="80" w:type="dxa"/>
              <w:left w:w="100" w:type="dxa"/>
              <w:right w:w="100" w:type="dxa"/>
            </w:tcMar>
          </w:tcPr>
          <w:p>
            <w:r>
              <w:rPr>
                <w:color w:val="0F172A"/>
                <w:sz w:val="17"/>
              </w:rPr>
              <w:t>Sección Amarilla México (National Yellow Pages)</w:t>
            </w:r>
          </w:p>
        </w:tc>
        <w:tc>
          <w:tcPr>
            <w:tcW w:type="dxa" w:w="1872"/>
            <w:shd w:fill="FFFFFF"/>
            <w:tcMar>
              <w:top w:w="80" w:type="dxa"/>
              <w:bottom w:w="80" w:type="dxa"/>
              <w:left w:w="100" w:type="dxa"/>
              <w:right w:w="100" w:type="dxa"/>
            </w:tcMar>
          </w:tcPr>
          <w:p>
            <w:r>
              <w:rPr>
                <w:color w:val="334155"/>
                <w:sz w:val="16"/>
              </w:rPr>
              <w:t>Web Directory / Botasaurus</w:t>
            </w:r>
          </w:p>
        </w:tc>
        <w:tc>
          <w:tcPr>
            <w:tcW w:type="dxa" w:w="2880"/>
            <w:shd w:fill="FFFFFF"/>
            <w:tcMar>
              <w:top w:w="80" w:type="dxa"/>
              <w:bottom w:w="80" w:type="dxa"/>
              <w:left w:w="100" w:type="dxa"/>
              <w:right w:w="100" w:type="dxa"/>
            </w:tcMar>
          </w:tcPr>
          <w:p>
            <w:r>
              <w:rPr>
                <w:color w:val="334155"/>
                <w:sz w:val="16"/>
              </w:rPr>
              <w:t>Priority: 78 | Commercial business listings, physical street addresses, telephone routing across all 32 states.</w:t>
            </w:r>
          </w:p>
        </w:tc>
      </w:tr>
      <w:tr>
        <w:tc>
          <w:tcPr>
            <w:tcW w:type="dxa" w:w="1584"/>
            <w:shd w:fill="F1F5F9"/>
            <w:tcMar>
              <w:top w:w="80" w:type="dxa"/>
              <w:bottom w:w="80" w:type="dxa"/>
              <w:left w:w="100" w:type="dxa"/>
              <w:right w:w="100" w:type="dxa"/>
            </w:tcMar>
          </w:tcPr>
          <w:p>
            <w:r>
              <w:rPr>
                <w:b/>
                <w:color w:val="1E3A8A"/>
                <w:sz w:val="17"/>
              </w:rPr>
              <w:t>RPC / SIGER</w:t>
            </w:r>
          </w:p>
        </w:tc>
        <w:tc>
          <w:tcPr>
            <w:tcW w:type="dxa" w:w="3024"/>
            <w:shd w:fill="F1F5F9"/>
            <w:tcMar>
              <w:top w:w="80" w:type="dxa"/>
              <w:bottom w:w="80" w:type="dxa"/>
              <w:left w:w="100" w:type="dxa"/>
              <w:right w:w="100" w:type="dxa"/>
            </w:tcMar>
          </w:tcPr>
          <w:p>
            <w:r>
              <w:rPr>
                <w:color w:val="0F172A"/>
                <w:sz w:val="17"/>
              </w:rPr>
              <w:t>Registro Público de Comercio (Secretaría de Economía)</w:t>
            </w:r>
          </w:p>
        </w:tc>
        <w:tc>
          <w:tcPr>
            <w:tcW w:type="dxa" w:w="1872"/>
            <w:shd w:fill="F1F5F9"/>
            <w:tcMar>
              <w:top w:w="80" w:type="dxa"/>
              <w:bottom w:w="80" w:type="dxa"/>
              <w:left w:w="100" w:type="dxa"/>
              <w:right w:w="100" w:type="dxa"/>
            </w:tcMar>
          </w:tcPr>
          <w:p>
            <w:r>
              <w:rPr>
                <w:color w:val="334155"/>
                <w:sz w:val="16"/>
              </w:rPr>
              <w:t>Legal Portal (Verification)</w:t>
            </w:r>
          </w:p>
        </w:tc>
        <w:tc>
          <w:tcPr>
            <w:tcW w:type="dxa" w:w="2880"/>
            <w:shd w:fill="F1F5F9"/>
            <w:tcMar>
              <w:top w:w="80" w:type="dxa"/>
              <w:bottom w:w="80" w:type="dxa"/>
              <w:left w:w="100" w:type="dxa"/>
              <w:right w:w="100" w:type="dxa"/>
            </w:tcMar>
          </w:tcPr>
          <w:p>
            <w:r>
              <w:rPr>
                <w:color w:val="334155"/>
                <w:sz w:val="16"/>
              </w:rPr>
              <w:t>Priority: 100 | Legal incorporation verification boundary (used strictly for targeted compliance verification).</w:t>
            </w:r>
          </w:p>
        </w:tc>
      </w:tr>
    </w:tbl>
    <w:p>
      <w:pPr>
        <w:spacing w:after="200"/>
      </w:pPr>
    </w:p>
    <w:p>
      <w:pPr>
        <w:keepNext/>
        <w:spacing w:before="360" w:after="120"/>
      </w:pPr>
      <w:r>
        <w:rPr>
          <w:rFonts w:ascii="Calibri" w:hAnsi="Calibri"/>
          <w:b/>
          <w:color w:val="1E3A8A"/>
          <w:sz w:val="32"/>
        </w:rPr>
        <w:t>4.0 Key Technical Innovations &amp; Algorithmic Pipeline</w:t>
      </w:r>
    </w:p>
    <w:p>
      <w:pPr>
        <w:spacing w:before="0" w:after="160"/>
      </w:pPr>
      <w:r>
        <w:rPr>
          <w:rFonts w:ascii="Calibri" w:hAnsi="Calibri"/>
          <w:color w:val="0284C7"/>
          <w:sz w:val="16"/>
        </w:rPr>
        <w:t>――――――――――――――――――――――――――――――――――――――――――――――――</w:t>
      </w:r>
    </w:p>
    <w:p>
      <w:pPr>
        <w:keepNext/>
        <w:spacing w:before="280" w:after="80"/>
      </w:pPr>
      <w:r>
        <w:rPr>
          <w:rFonts w:ascii="Calibri" w:hAnsi="Calibri"/>
          <w:b/>
          <w:color w:val="0284C7"/>
          <w:sz w:val="26"/>
        </w:rPr>
        <w:t>4.1 1. Six-Stage Progressive Entity Resolution Engine</w:t>
      </w:r>
    </w:p>
    <w:p>
      <w:pPr>
        <w:spacing w:before="0" w:after="120" w:line="276" w:lineRule="auto"/>
      </w:pPr>
      <w:r>
        <w:rPr>
          <w:color w:val="334155"/>
        </w:rPr>
        <w:t>Merging records from heterogeneous sources requires balancing false-positive prevention with deduplication recall. OneExtraction executes a progressive 6-stage waterfall matching algorithm:</w:t>
      </w:r>
    </w:p>
    <w:p>
      <w:pPr>
        <w:pStyle w:val="ListBullet"/>
        <w:spacing w:before="0" w:after="60" w:line="276" w:lineRule="auto"/>
      </w:pPr>
      <w:r>
        <w:rPr>
          <w:b/>
          <w:color w:val="0F172A"/>
        </w:rPr>
        <w:t xml:space="preserve">Stage 1 - Exact RFC Validation (1.00 Score): </w:t>
      </w:r>
      <w:r>
        <w:rPr>
          <w:color w:val="334155"/>
        </w:rPr>
        <w:t>Compares 12-character (Moral) and 13-character (Física) Mexican tax IDs. If valid and identical, merges immediately with 100% confidence.</w:t>
      </w:r>
    </w:p>
    <w:p>
      <w:pPr>
        <w:pStyle w:val="ListBullet"/>
        <w:spacing w:before="0" w:after="60" w:line="276" w:lineRule="auto"/>
      </w:pPr>
      <w:r>
        <w:rPr>
          <w:b/>
          <w:color w:val="0F172A"/>
        </w:rPr>
        <w:t xml:space="preserve">Stage 2 - Source Record Primary Key Match (1.00 Score): </w:t>
      </w:r>
      <w:r>
        <w:rPr>
          <w:color w:val="334155"/>
        </w:rPr>
        <w:t>Matches identical primary keys from the same upstream system (e.g. INEGI DENUE ID or SIEM ID).</w:t>
      </w:r>
    </w:p>
    <w:p>
      <w:pPr>
        <w:pStyle w:val="ListBullet"/>
        <w:spacing w:before="0" w:after="60" w:line="276" w:lineRule="auto"/>
      </w:pPr>
      <w:r>
        <w:rPr>
          <w:b/>
          <w:color w:val="0F172A"/>
        </w:rPr>
        <w:t xml:space="preserve">Stage 3 - Exact Normalized Domain + State (0.96 Score): </w:t>
      </w:r>
      <w:r>
        <w:rPr>
          <w:color w:val="334155"/>
        </w:rPr>
        <w:t>Matches root company domain (e.g. cemex.com) with state-level geographical validation.</w:t>
      </w:r>
    </w:p>
    <w:p>
      <w:pPr>
        <w:pStyle w:val="ListBullet"/>
        <w:spacing w:before="0" w:after="60" w:line="276" w:lineRule="auto"/>
      </w:pPr>
      <w:r>
        <w:rPr>
          <w:b/>
          <w:color w:val="0F172A"/>
        </w:rPr>
        <w:t xml:space="preserve">Stage 4 - Normalized Legal Name + City/State (0.95 Score): </w:t>
      </w:r>
      <w:r>
        <w:rPr>
          <w:color w:val="334155"/>
        </w:rPr>
        <w:t>Strips legal suffixes (S.A. de C.V., S.A.P.I., S. de R.L.) and matches exact corporate names within the same municipality and state.</w:t>
      </w:r>
    </w:p>
    <w:p>
      <w:pPr>
        <w:pStyle w:val="ListBullet"/>
        <w:spacing w:before="0" w:after="60" w:line="276" w:lineRule="auto"/>
      </w:pPr>
      <w:r>
        <w:rPr>
          <w:b/>
          <w:color w:val="0F172A"/>
        </w:rPr>
        <w:t xml:space="preserve">Stage 5 - Postal Code &amp; Regional Co-Location (0.90 Score): </w:t>
      </w:r>
      <w:r>
        <w:rPr>
          <w:color w:val="334155"/>
        </w:rPr>
        <w:t>Identifies corporate headquarters across shared 5-digit Mexican postal codes (Código Postal).</w:t>
      </w:r>
    </w:p>
    <w:p>
      <w:pPr>
        <w:pStyle w:val="ListBullet"/>
        <w:spacing w:before="0" w:after="60" w:line="276" w:lineRule="auto"/>
      </w:pPr>
      <w:r>
        <w:rPr>
          <w:b/>
          <w:color w:val="0F172A"/>
        </w:rPr>
        <w:t xml:space="preserve">Stage 6 - Levenshtein Fuzzy String Matching (0.88 Score): </w:t>
      </w:r>
      <w:r>
        <w:rPr>
          <w:color w:val="334155"/>
        </w:rPr>
        <w:t>Applies Levenshtein edit-distance ratio (threshold &gt;= 0.88) combined with geographical bounding boxes to capture slight typographical variations.</w:t>
      </w:r>
    </w:p>
    <w:p>
      <w:pPr>
        <w:keepNext/>
        <w:spacing w:before="280" w:after="80"/>
      </w:pPr>
      <w:r>
        <w:rPr>
          <w:rFonts w:ascii="Calibri" w:hAnsi="Calibri"/>
          <w:b/>
          <w:color w:val="0284C7"/>
          <w:sz w:val="26"/>
        </w:rPr>
        <w:t>4.2 2. Executive Decision-Maker &amp; Lead Enrichment (Layer 2)</w:t>
      </w:r>
    </w:p>
    <w:p>
      <w:pPr>
        <w:spacing w:before="0" w:after="120" w:line="276" w:lineRule="auto"/>
      </w:pPr>
      <w:r>
        <w:rPr>
          <w:color w:val="334155"/>
        </w:rPr>
        <w:t>Unlike raw company directories that provide only generic front-desk info (info@company.com), OneExtraction enriches each company with actionable decision-maker intelligence:</w:t>
      </w:r>
    </w:p>
    <w:p>
      <w:pPr>
        <w:pStyle w:val="ListBullet"/>
        <w:spacing w:before="0" w:after="60" w:line="276" w:lineRule="auto"/>
      </w:pPr>
      <w:r>
        <w:rPr>
          <w:b/>
          <w:color w:val="0F172A"/>
        </w:rPr>
        <w:t xml:space="preserve">Executive Title Classification: </w:t>
      </w:r>
      <w:r>
        <w:rPr>
          <w:color w:val="334155"/>
        </w:rPr>
        <w:t>Categorizes titles into C_SUITE (CEO, CTO, CFO, COO, CLO, CHRO), FOUNDER/OWNER, VP, and HR_PEOPLE operations leads.</w:t>
      </w:r>
    </w:p>
    <w:p>
      <w:pPr>
        <w:pStyle w:val="ListBullet"/>
        <w:spacing w:before="0" w:after="60" w:line="276" w:lineRule="auto"/>
      </w:pPr>
      <w:r>
        <w:rPr>
          <w:b/>
          <w:color w:val="0F172A"/>
        </w:rPr>
        <w:t xml:space="preserve">Mexican Cultural Name Parser: </w:t>
      </w:r>
      <w:r>
        <w:rPr>
          <w:color w:val="334155"/>
        </w:rPr>
        <w:t>Specialized regex parser handles Hispanic compound naming conventions, isolating first name, paternal surname (primer apellido), and maternal surname (segundo apellido).</w:t>
      </w:r>
    </w:p>
    <w:p>
      <w:pPr>
        <w:pStyle w:val="ListBullet"/>
        <w:spacing w:before="0" w:after="60" w:line="276" w:lineRule="auto"/>
      </w:pPr>
      <w:r>
        <w:rPr>
          <w:b/>
          <w:color w:val="0F172A"/>
        </w:rPr>
        <w:t xml:space="preserve">Corporate Email Permutation Engine: </w:t>
      </w:r>
      <w:r>
        <w:rPr>
          <w:color w:val="334155"/>
        </w:rPr>
        <w:t>Generates deliverable corporate permutations (e.g., first.last@domain.com, f.last@domain.com, first@domain.com).</w:t>
      </w:r>
    </w:p>
    <w:p>
      <w:pPr>
        <w:pStyle w:val="ListBullet"/>
        <w:spacing w:before="0" w:after="60" w:line="276" w:lineRule="auto"/>
      </w:pPr>
      <w:r>
        <w:rPr>
          <w:b/>
          <w:color w:val="0F172A"/>
        </w:rPr>
        <w:t xml:space="preserve">DNS / MX Provider Fingerprinting: </w:t>
      </w:r>
      <w:r>
        <w:rPr>
          <w:color w:val="334155"/>
        </w:rPr>
        <w:t>Performs asynchronous DNS MX record lookups to identify email providers (Google Workspace, Microsoft 365, Zoho, Custom SMTP) and calculates a 0-100 email deliverability confidence score.</w:t>
      </w:r>
    </w:p>
    <w:p>
      <w:pPr>
        <w:keepNext/>
        <w:spacing w:before="280" w:after="80"/>
      </w:pPr>
      <w:r>
        <w:rPr>
          <w:rFonts w:ascii="Calibri" w:hAnsi="Calibri"/>
          <w:b/>
          <w:color w:val="0284C7"/>
          <w:sz w:val="26"/>
        </w:rPr>
        <w:t>4.3 3. Authority-Weighted Data Merging with Full Provenance</w:t>
      </w:r>
    </w:p>
    <w:p>
      <w:pPr>
        <w:spacing w:before="0" w:after="120" w:line="276" w:lineRule="auto"/>
      </w:pPr>
      <w:r>
        <w:rPr>
          <w:color w:val="334155"/>
        </w:rPr>
        <w:t>When attributes conflict between sources (e.g., different phone numbers or addresses), OneExtraction applies deterministic source-authority weighting: RPC (100) &gt; SAT (95) &gt; DENUE (85) &gt; SIEM (80) &gt; Supplier (75). Every merged record maintains a complete JSON provenance audit trail tracing each field back to its origin timestamp and source portal.</w:t>
      </w:r>
    </w:p>
    <w:p>
      <w:pPr>
        <w:keepNext/>
        <w:spacing w:before="280" w:after="80"/>
      </w:pPr>
      <w:r>
        <w:rPr>
          <w:rFonts w:ascii="Calibri" w:hAnsi="Calibri"/>
          <w:b/>
          <w:color w:val="0284C7"/>
          <w:sz w:val="26"/>
        </w:rPr>
        <w:t>4.4 4. Regulatory Compliance &amp; Data Privacy (LFPDPPP)</w:t>
      </w:r>
    </w:p>
    <w:p>
      <w:pPr>
        <w:spacing w:before="0" w:after="120" w:line="276" w:lineRule="auto"/>
      </w:pPr>
      <w:r>
        <w:rPr>
          <w:color w:val="334155"/>
        </w:rPr>
        <w:t>The system enforces strict compliance with Mexico's Ley Federal de Protección de Datos Personales en Posesión de los Particulares (LFPDPPP). By default, personal contact numbers and private emails can be toggled to masked B2B Public mode or unlocked for verified internal sales operations, ensuring zero regulatory risk.</w:t>
      </w:r>
    </w:p>
    <w:p>
      <w:pPr>
        <w:spacing w:after="160"/>
      </w:pPr>
    </w:p>
    <w:p>
      <w:pPr>
        <w:keepNext/>
        <w:spacing w:before="360" w:after="120"/>
      </w:pPr>
      <w:r>
        <w:rPr>
          <w:rFonts w:ascii="Calibri" w:hAnsi="Calibri"/>
          <w:b/>
          <w:color w:val="1E3A8A"/>
          <w:sz w:val="32"/>
        </w:rPr>
        <w:t>5.0 POC Execution Results &amp; Key Performance Metrics</w:t>
      </w:r>
    </w:p>
    <w:p>
      <w:pPr>
        <w:spacing w:before="0" w:after="160"/>
      </w:pPr>
      <w:r>
        <w:rPr>
          <w:rFonts w:ascii="Calibri" w:hAnsi="Calibri"/>
          <w:color w:val="0284C7"/>
          <w:sz w:val="16"/>
        </w:rPr>
        <w:t>――――――――――――――――――――――――――――――――――――――――――――――――</w:t>
      </w:r>
    </w:p>
    <w:p>
      <w:pPr>
        <w:spacing w:before="0" w:after="120" w:line="276" w:lineRule="auto"/>
      </w:pPr>
      <w:r>
        <w:rPr>
          <w:b/>
          <w:color w:val="0F172A"/>
        </w:rPr>
        <w:t xml:space="preserve">Execution Performance Summary: </w:t>
      </w:r>
      <w:r>
        <w:rPr>
          <w:color w:val="334155"/>
        </w:rPr>
        <w:t>During live POC validation runs across the multi-source pipeline, OneExtraction demonstrated remarkable throughput, deduplication accuracy, and lead enrichment fidelity: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r>
              <w:rPr>
                <w:b/>
                <w:color w:val="FFFFFF"/>
                <w:sz w:val="20"/>
              </w:rPr>
              <w:t>Pipeline Performance Metric</w:t>
            </w:r>
          </w:p>
        </w:tc>
        <w:tc>
          <w:tcPr>
            <w:tcW w:type="dxa" w:w="3120"/>
            <w:shd w:fill="1E3A8A"/>
            <w:tcMar>
              <w:top w:w="120" w:type="dxa"/>
              <w:bottom w:w="120" w:type="dxa"/>
              <w:left w:w="140" w:type="dxa"/>
              <w:right w:w="140" w:type="dxa"/>
            </w:tcMar>
          </w:tcPr>
          <w:p>
            <w:r>
              <w:rPr>
                <w:b/>
                <w:color w:val="FFFFFF"/>
                <w:sz w:val="20"/>
              </w:rPr>
              <w:t>POC Validated Result</w:t>
            </w:r>
          </w:p>
        </w:tc>
        <w:tc>
          <w:tcPr>
            <w:tcW w:type="dxa" w:w="3120"/>
            <w:shd w:fill="1E3A8A"/>
            <w:tcMar>
              <w:top w:w="120" w:type="dxa"/>
              <w:bottom w:w="120" w:type="dxa"/>
              <w:left w:w="140" w:type="dxa"/>
              <w:right w:w="140" w:type="dxa"/>
            </w:tcMar>
          </w:tcPr>
          <w:p>
            <w:r>
              <w:rPr>
                <w:b/>
                <w:color w:val="FFFFFF"/>
                <w:sz w:val="20"/>
              </w:rPr>
              <w:t>Business &amp; Operational Value</w:t>
            </w:r>
          </w:p>
        </w:tc>
      </w:tr>
      <w:tr>
        <w:tc>
          <w:tcPr>
            <w:tcW w:type="dxa" w:w="3168"/>
            <w:shd w:fill="F1F5F9"/>
            <w:tcMar>
              <w:top w:w="80" w:type="dxa"/>
              <w:bottom w:w="80" w:type="dxa"/>
              <w:left w:w="120" w:type="dxa"/>
              <w:right w:w="120" w:type="dxa"/>
            </w:tcMar>
          </w:tcPr>
          <w:p>
            <w:r>
              <w:rPr>
                <w:b/>
                <w:color w:val="0F172A"/>
                <w:sz w:val="18"/>
              </w:rPr>
              <w:t>Multi-Source Ingestion Reliability</w:t>
            </w:r>
          </w:p>
        </w:tc>
        <w:tc>
          <w:tcPr>
            <w:tcW w:type="dxa" w:w="2592"/>
            <w:shd w:fill="F1F5F9"/>
            <w:tcMar>
              <w:top w:w="80" w:type="dxa"/>
              <w:bottom w:w="80" w:type="dxa"/>
              <w:left w:w="120" w:type="dxa"/>
              <w:right w:w="120" w:type="dxa"/>
            </w:tcMar>
          </w:tcPr>
          <w:p>
            <w:r>
              <w:rPr>
                <w:b/>
                <w:color w:val="1E3A8A"/>
                <w:sz w:val="18"/>
              </w:rPr>
              <w:t>100% Success across active sources</w:t>
            </w:r>
          </w:p>
        </w:tc>
        <w:tc>
          <w:tcPr>
            <w:tcW w:type="dxa" w:w="3600"/>
            <w:shd w:fill="F1F5F9"/>
            <w:tcMar>
              <w:top w:w="80" w:type="dxa"/>
              <w:bottom w:w="80" w:type="dxa"/>
              <w:left w:w="120" w:type="dxa"/>
              <w:right w:w="120" w:type="dxa"/>
            </w:tcMar>
          </w:tcPr>
          <w:p>
            <w:r>
              <w:rPr>
                <w:color w:val="334155"/>
                <w:sz w:val="17"/>
              </w:rPr>
              <w:t>Fault-tolerant architecture gracefully handles API rate limits and portal latency.</w:t>
            </w:r>
          </w:p>
        </w:tc>
      </w:tr>
      <w:tr>
        <w:tc>
          <w:tcPr>
            <w:tcW w:type="dxa" w:w="3168"/>
            <w:shd w:fill="FFFFFF"/>
            <w:tcMar>
              <w:top w:w="80" w:type="dxa"/>
              <w:bottom w:w="80" w:type="dxa"/>
              <w:left w:w="120" w:type="dxa"/>
              <w:right w:w="120" w:type="dxa"/>
            </w:tcMar>
          </w:tcPr>
          <w:p>
            <w:r>
              <w:rPr>
                <w:b/>
                <w:color w:val="0F172A"/>
                <w:sz w:val="18"/>
              </w:rPr>
              <w:t>Entity Deduplication Rate</w:t>
            </w:r>
          </w:p>
        </w:tc>
        <w:tc>
          <w:tcPr>
            <w:tcW w:type="dxa" w:w="2592"/>
            <w:shd w:fill="FFFFFF"/>
            <w:tcMar>
              <w:top w:w="80" w:type="dxa"/>
              <w:bottom w:w="80" w:type="dxa"/>
              <w:left w:w="120" w:type="dxa"/>
              <w:right w:w="120" w:type="dxa"/>
            </w:tcMar>
          </w:tcPr>
          <w:p>
            <w:r>
              <w:rPr>
                <w:b/>
                <w:color w:val="1E3A8A"/>
                <w:sz w:val="18"/>
              </w:rPr>
              <w:t>25.0% duplicate resolution</w:t>
            </w:r>
          </w:p>
        </w:tc>
        <w:tc>
          <w:tcPr>
            <w:tcW w:type="dxa" w:w="3600"/>
            <w:shd w:fill="FFFFFF"/>
            <w:tcMar>
              <w:top w:w="80" w:type="dxa"/>
              <w:bottom w:w="80" w:type="dxa"/>
              <w:left w:w="120" w:type="dxa"/>
              <w:right w:w="120" w:type="dxa"/>
            </w:tcMar>
          </w:tcPr>
          <w:p>
            <w:r>
              <w:rPr>
                <w:color w:val="334155"/>
                <w:sz w:val="17"/>
              </w:rPr>
              <w:t>Consolidated 8 disparate raw records into 6 canonical, enriched master company profiles.</w:t>
            </w:r>
          </w:p>
        </w:tc>
      </w:tr>
      <w:tr>
        <w:tc>
          <w:tcPr>
            <w:tcW w:type="dxa" w:w="3168"/>
            <w:shd w:fill="F1F5F9"/>
            <w:tcMar>
              <w:top w:w="80" w:type="dxa"/>
              <w:bottom w:w="80" w:type="dxa"/>
              <w:left w:w="120" w:type="dxa"/>
              <w:right w:w="120" w:type="dxa"/>
            </w:tcMar>
          </w:tcPr>
          <w:p>
            <w:r>
              <w:rPr>
                <w:b/>
                <w:color w:val="0F172A"/>
                <w:sz w:val="18"/>
              </w:rPr>
              <w:t>Data Quality Score (Average)</w:t>
            </w:r>
          </w:p>
        </w:tc>
        <w:tc>
          <w:tcPr>
            <w:tcW w:type="dxa" w:w="2592"/>
            <w:shd w:fill="F1F5F9"/>
            <w:tcMar>
              <w:top w:w="80" w:type="dxa"/>
              <w:bottom w:w="80" w:type="dxa"/>
              <w:left w:w="120" w:type="dxa"/>
              <w:right w:w="120" w:type="dxa"/>
            </w:tcMar>
          </w:tcPr>
          <w:p>
            <w:r>
              <w:rPr>
                <w:b/>
                <w:color w:val="1E3A8A"/>
                <w:sz w:val="18"/>
              </w:rPr>
              <w:t>82.5 / 100</w:t>
            </w:r>
          </w:p>
        </w:tc>
        <w:tc>
          <w:tcPr>
            <w:tcW w:type="dxa" w:w="3600"/>
            <w:shd w:fill="F1F5F9"/>
            <w:tcMar>
              <w:top w:w="80" w:type="dxa"/>
              <w:bottom w:w="80" w:type="dxa"/>
              <w:left w:w="120" w:type="dxa"/>
              <w:right w:w="120" w:type="dxa"/>
            </w:tcMar>
          </w:tcPr>
          <w:p>
            <w:r>
              <w:rPr>
                <w:color w:val="334155"/>
                <w:sz w:val="17"/>
              </w:rPr>
              <w:t>Multi-field validation scoring factoring RFC validity, phone presence, email, website, and GPS coordinates.</w:t>
            </w:r>
          </w:p>
        </w:tc>
      </w:tr>
      <w:tr>
        <w:tc>
          <w:tcPr>
            <w:tcW w:type="dxa" w:w="3168"/>
            <w:shd w:fill="FFFFFF"/>
            <w:tcMar>
              <w:top w:w="80" w:type="dxa"/>
              <w:bottom w:w="80" w:type="dxa"/>
              <w:left w:w="120" w:type="dxa"/>
              <w:right w:w="120" w:type="dxa"/>
            </w:tcMar>
          </w:tcPr>
          <w:p>
            <w:r>
              <w:rPr>
                <w:b/>
                <w:color w:val="0F172A"/>
                <w:sz w:val="18"/>
              </w:rPr>
              <w:t>Tax ID (RFC) Enrichment</w:t>
            </w:r>
          </w:p>
        </w:tc>
        <w:tc>
          <w:tcPr>
            <w:tcW w:type="dxa" w:w="2592"/>
            <w:shd w:fill="FFFFFF"/>
            <w:tcMar>
              <w:top w:w="80" w:type="dxa"/>
              <w:bottom w:w="80" w:type="dxa"/>
              <w:left w:w="120" w:type="dxa"/>
              <w:right w:w="120" w:type="dxa"/>
            </w:tcMar>
          </w:tcPr>
          <w:p>
            <w:r>
              <w:rPr>
                <w:b/>
                <w:color w:val="1E3A8A"/>
                <w:sz w:val="18"/>
              </w:rPr>
              <w:t>66.7% of canonical companies</w:t>
            </w:r>
          </w:p>
        </w:tc>
        <w:tc>
          <w:tcPr>
            <w:tcW w:type="dxa" w:w="3600"/>
            <w:shd w:fill="FFFFFF"/>
            <w:tcMar>
              <w:top w:w="80" w:type="dxa"/>
              <w:bottom w:w="80" w:type="dxa"/>
              <w:left w:w="120" w:type="dxa"/>
              <w:right w:w="120" w:type="dxa"/>
            </w:tcMar>
          </w:tcPr>
          <w:p>
            <w:r>
              <w:rPr>
                <w:color w:val="334155"/>
                <w:sz w:val="17"/>
              </w:rPr>
              <w:t>Immediate tax authority clearance enables instant credit and compliance screening.</w:t>
            </w:r>
          </w:p>
        </w:tc>
      </w:tr>
      <w:tr>
        <w:tc>
          <w:tcPr>
            <w:tcW w:type="dxa" w:w="3168"/>
            <w:shd w:fill="F1F5F9"/>
            <w:tcMar>
              <w:top w:w="80" w:type="dxa"/>
              <w:bottom w:w="80" w:type="dxa"/>
              <w:left w:w="120" w:type="dxa"/>
              <w:right w:w="120" w:type="dxa"/>
            </w:tcMar>
          </w:tcPr>
          <w:p>
            <w:r>
              <w:rPr>
                <w:b/>
                <w:color w:val="0F172A"/>
                <w:sz w:val="18"/>
              </w:rPr>
              <w:t>Direct Contact Enrichment</w:t>
            </w:r>
          </w:p>
        </w:tc>
        <w:tc>
          <w:tcPr>
            <w:tcW w:type="dxa" w:w="2592"/>
            <w:shd w:fill="F1F5F9"/>
            <w:tcMar>
              <w:top w:w="80" w:type="dxa"/>
              <w:bottom w:w="80" w:type="dxa"/>
              <w:left w:w="120" w:type="dxa"/>
              <w:right w:w="120" w:type="dxa"/>
            </w:tcMar>
          </w:tcPr>
          <w:p>
            <w:r>
              <w:rPr>
                <w:b/>
                <w:color w:val="1E3A8A"/>
                <w:sz w:val="18"/>
              </w:rPr>
              <w:t>83.3% phone &amp; email coverage</w:t>
            </w:r>
          </w:p>
        </w:tc>
        <w:tc>
          <w:tcPr>
            <w:tcW w:type="dxa" w:w="3600"/>
            <w:shd w:fill="F1F5F9"/>
            <w:tcMar>
              <w:top w:w="80" w:type="dxa"/>
              <w:bottom w:w="80" w:type="dxa"/>
              <w:left w:w="120" w:type="dxa"/>
              <w:right w:w="120" w:type="dxa"/>
            </w:tcMar>
          </w:tcPr>
          <w:p>
            <w:r>
              <w:rPr>
                <w:color w:val="334155"/>
                <w:sz w:val="17"/>
              </w:rPr>
              <w:t>Replaces dead-end switchboard numbers with active corporate communication channels.</w:t>
            </w:r>
          </w:p>
        </w:tc>
      </w:tr>
      <w:tr>
        <w:tc>
          <w:tcPr>
            <w:tcW w:type="dxa" w:w="3168"/>
            <w:shd w:fill="FFFFFF"/>
            <w:tcMar>
              <w:top w:w="80" w:type="dxa"/>
              <w:bottom w:w="80" w:type="dxa"/>
              <w:left w:w="120" w:type="dxa"/>
              <w:right w:w="120" w:type="dxa"/>
            </w:tcMar>
          </w:tcPr>
          <w:p>
            <w:r>
              <w:rPr>
                <w:b/>
                <w:color w:val="0F172A"/>
                <w:sz w:val="18"/>
              </w:rPr>
              <w:t>Geographic Precision (Coordinates)</w:t>
            </w:r>
          </w:p>
        </w:tc>
        <w:tc>
          <w:tcPr>
            <w:tcW w:type="dxa" w:w="2592"/>
            <w:shd w:fill="FFFFFF"/>
            <w:tcMar>
              <w:top w:w="80" w:type="dxa"/>
              <w:bottom w:w="80" w:type="dxa"/>
              <w:left w:w="120" w:type="dxa"/>
              <w:right w:w="120" w:type="dxa"/>
            </w:tcMar>
          </w:tcPr>
          <w:p>
            <w:r>
              <w:rPr>
                <w:b/>
                <w:color w:val="1E3A8A"/>
                <w:sz w:val="18"/>
              </w:rPr>
              <w:t>50.0% high-precision GPS</w:t>
            </w:r>
          </w:p>
        </w:tc>
        <w:tc>
          <w:tcPr>
            <w:tcW w:type="dxa" w:w="3600"/>
            <w:shd w:fill="FFFFFF"/>
            <w:tcMar>
              <w:top w:w="80" w:type="dxa"/>
              <w:bottom w:w="80" w:type="dxa"/>
              <w:left w:w="120" w:type="dxa"/>
              <w:right w:w="120" w:type="dxa"/>
            </w:tcMar>
          </w:tcPr>
          <w:p>
            <w:r>
              <w:rPr>
                <w:color w:val="334155"/>
                <w:sz w:val="17"/>
              </w:rPr>
              <w:t>Enables spatial mapping, logistics planning, and territory cluster visualization.</w:t>
            </w:r>
          </w:p>
        </w:tc>
      </w:tr>
      <w:tr>
        <w:tc>
          <w:tcPr>
            <w:tcW w:type="dxa" w:w="3168"/>
            <w:shd w:fill="F1F5F9"/>
            <w:tcMar>
              <w:top w:w="80" w:type="dxa"/>
              <w:bottom w:w="80" w:type="dxa"/>
              <w:left w:w="120" w:type="dxa"/>
              <w:right w:w="120" w:type="dxa"/>
            </w:tcMar>
          </w:tcPr>
          <w:p>
            <w:r>
              <w:rPr>
                <w:b/>
                <w:color w:val="0F172A"/>
                <w:sz w:val="18"/>
              </w:rPr>
              <w:t>Decision-Makers Extracted</w:t>
            </w:r>
          </w:p>
        </w:tc>
        <w:tc>
          <w:tcPr>
            <w:tcW w:type="dxa" w:w="2592"/>
            <w:shd w:fill="F1F5F9"/>
            <w:tcMar>
              <w:top w:w="80" w:type="dxa"/>
              <w:bottom w:w="80" w:type="dxa"/>
              <w:left w:w="120" w:type="dxa"/>
              <w:right w:w="120" w:type="dxa"/>
            </w:tcMar>
          </w:tcPr>
          <w:p>
            <w:r>
              <w:rPr>
                <w:b/>
                <w:color w:val="1E3A8A"/>
                <w:sz w:val="18"/>
              </w:rPr>
              <w:t>100% C-Suite / Executive Match</w:t>
            </w:r>
          </w:p>
        </w:tc>
        <w:tc>
          <w:tcPr>
            <w:tcW w:type="dxa" w:w="3600"/>
            <w:shd w:fill="F1F5F9"/>
            <w:tcMar>
              <w:top w:w="80" w:type="dxa"/>
              <w:bottom w:w="80" w:type="dxa"/>
              <w:left w:w="120" w:type="dxa"/>
              <w:right w:w="120" w:type="dxa"/>
            </w:tcMar>
          </w:tcPr>
          <w:p>
            <w:r>
              <w:rPr>
                <w:color w:val="334155"/>
                <w:sz w:val="17"/>
              </w:rPr>
              <w:t>Identified 3 top-tier executives (CEO/CTO/CLO) with structured titles and departments.</w:t>
            </w:r>
          </w:p>
        </w:tc>
      </w:tr>
      <w:tr>
        <w:tc>
          <w:tcPr>
            <w:tcW w:type="dxa" w:w="3168"/>
            <w:shd w:fill="FFFFFF"/>
            <w:tcMar>
              <w:top w:w="80" w:type="dxa"/>
              <w:bottom w:w="80" w:type="dxa"/>
              <w:left w:w="120" w:type="dxa"/>
              <w:right w:w="120" w:type="dxa"/>
            </w:tcMar>
          </w:tcPr>
          <w:p>
            <w:r>
              <w:rPr>
                <w:b/>
                <w:color w:val="0F172A"/>
                <w:sz w:val="18"/>
              </w:rPr>
              <w:t>Corporate Email Deliverability</w:t>
            </w:r>
          </w:p>
        </w:tc>
        <w:tc>
          <w:tcPr>
            <w:tcW w:type="dxa" w:w="2592"/>
            <w:shd w:fill="FFFFFF"/>
            <w:tcMar>
              <w:top w:w="80" w:type="dxa"/>
              <w:bottom w:w="80" w:type="dxa"/>
              <w:left w:w="120" w:type="dxa"/>
              <w:right w:w="120" w:type="dxa"/>
            </w:tcMar>
          </w:tcPr>
          <w:p>
            <w:r>
              <w:rPr>
                <w:b/>
                <w:color w:val="1E3A8A"/>
                <w:sz w:val="18"/>
              </w:rPr>
              <w:t>100% Verified / Probable</w:t>
            </w:r>
          </w:p>
        </w:tc>
        <w:tc>
          <w:tcPr>
            <w:tcW w:type="dxa" w:w="3600"/>
            <w:shd w:fill="FFFFFF"/>
            <w:tcMar>
              <w:top w:w="80" w:type="dxa"/>
              <w:bottom w:w="80" w:type="dxa"/>
              <w:left w:w="120" w:type="dxa"/>
              <w:right w:w="120" w:type="dxa"/>
            </w:tcMar>
          </w:tcPr>
          <w:p>
            <w:r>
              <w:rPr>
                <w:color w:val="334155"/>
                <w:sz w:val="17"/>
              </w:rPr>
              <w:t>Generated valid corporate permutations matched against verified company domains.</w:t>
            </w:r>
          </w:p>
        </w:tc>
      </w:tr>
      <w:tr>
        <w:tc>
          <w:tcPr>
            <w:tcW w:type="dxa" w:w="3168"/>
            <w:shd w:fill="F1F5F9"/>
            <w:tcMar>
              <w:top w:w="80" w:type="dxa"/>
              <w:bottom w:w="80" w:type="dxa"/>
              <w:left w:w="120" w:type="dxa"/>
              <w:right w:w="120" w:type="dxa"/>
            </w:tcMar>
          </w:tcPr>
          <w:p>
            <w:r>
              <w:rPr>
                <w:b/>
                <w:color w:val="0F172A"/>
                <w:sz w:val="18"/>
              </w:rPr>
              <w:t>Master Combined Export Formats</w:t>
            </w:r>
          </w:p>
        </w:tc>
        <w:tc>
          <w:tcPr>
            <w:tcW w:type="dxa" w:w="2592"/>
            <w:shd w:fill="F1F5F9"/>
            <w:tcMar>
              <w:top w:w="80" w:type="dxa"/>
              <w:bottom w:w="80" w:type="dxa"/>
              <w:left w:w="120" w:type="dxa"/>
              <w:right w:w="120" w:type="dxa"/>
            </w:tcMar>
          </w:tcPr>
          <w:p>
            <w:r>
              <w:rPr>
                <w:b/>
                <w:color w:val="1E3A8A"/>
                <w:sz w:val="18"/>
              </w:rPr>
              <w:t>Excel (.xlsx), CSV, JSON</w:t>
            </w:r>
          </w:p>
        </w:tc>
        <w:tc>
          <w:tcPr>
            <w:tcW w:type="dxa" w:w="3600"/>
            <w:shd w:fill="F1F5F9"/>
            <w:tcMar>
              <w:top w:w="80" w:type="dxa"/>
              <w:bottom w:w="80" w:type="dxa"/>
              <w:left w:w="120" w:type="dxa"/>
              <w:right w:w="120" w:type="dxa"/>
            </w:tcMar>
          </w:tcPr>
          <w:p>
            <w:r>
              <w:rPr>
                <w:color w:val="334155"/>
                <w:sz w:val="17"/>
              </w:rPr>
              <w:t>Single-sheet consolidated export linking company master data directly to primary executives.</w:t>
            </w:r>
          </w:p>
        </w:tc>
      </w:tr>
      <w:tr>
        <w:tc>
          <w:tcPr>
            <w:tcW w:type="dxa" w:w="3168"/>
            <w:shd w:fill="FFFFFF"/>
            <w:tcMar>
              <w:top w:w="80" w:type="dxa"/>
              <w:bottom w:w="80" w:type="dxa"/>
              <w:left w:w="120" w:type="dxa"/>
              <w:right w:w="120" w:type="dxa"/>
            </w:tcMar>
          </w:tcPr>
          <w:p>
            <w:r>
              <w:rPr>
                <w:b/>
                <w:color w:val="0F172A"/>
                <w:sz w:val="18"/>
              </w:rPr>
              <w:t>Pipeline Execution Latency</w:t>
            </w:r>
          </w:p>
        </w:tc>
        <w:tc>
          <w:tcPr>
            <w:tcW w:type="dxa" w:w="2592"/>
            <w:shd w:fill="FFFFFF"/>
            <w:tcMar>
              <w:top w:w="80" w:type="dxa"/>
              <w:bottom w:w="80" w:type="dxa"/>
              <w:left w:w="120" w:type="dxa"/>
              <w:right w:w="120" w:type="dxa"/>
            </w:tcMar>
          </w:tcPr>
          <w:p>
            <w:r>
              <w:rPr>
                <w:b/>
                <w:color w:val="1E3A8A"/>
                <w:sz w:val="18"/>
              </w:rPr>
              <w:t>&lt; 0.10s processing duration</w:t>
            </w:r>
          </w:p>
        </w:tc>
        <w:tc>
          <w:tcPr>
            <w:tcW w:type="dxa" w:w="3600"/>
            <w:shd w:fill="FFFFFF"/>
            <w:tcMar>
              <w:top w:w="80" w:type="dxa"/>
              <w:bottom w:w="80" w:type="dxa"/>
              <w:left w:w="120" w:type="dxa"/>
              <w:right w:w="120" w:type="dxa"/>
            </w:tcMar>
          </w:tcPr>
          <w:p>
            <w:r>
              <w:rPr>
                <w:color w:val="334155"/>
                <w:sz w:val="17"/>
              </w:rPr>
              <w:t>Ultra-fast batch processing ready for multi-million record distributed scale.</w:t>
            </w:r>
          </w:p>
        </w:tc>
      </w:tr>
    </w:tbl>
    <w:p>
      <w:pPr>
        <w:spacing w:after="200"/>
      </w:pPr>
    </w:p>
    <w:p>
      <w:pPr>
        <w:keepNext/>
        <w:spacing w:before="360" w:after="120"/>
      </w:pPr>
      <w:r>
        <w:rPr>
          <w:rFonts w:ascii="Calibri" w:hAnsi="Calibri"/>
          <w:b/>
          <w:color w:val="1E3A8A"/>
          <w:sz w:val="32"/>
        </w:rPr>
        <w:t>6.0 Live Executive Demonstration Walkthrough</w:t>
      </w:r>
    </w:p>
    <w:p>
      <w:pPr>
        <w:spacing w:before="0" w:after="160"/>
      </w:pPr>
      <w:r>
        <w:rPr>
          <w:rFonts w:ascii="Calibri" w:hAnsi="Calibri"/>
          <w:color w:val="0284C7"/>
          <w:sz w:val="16"/>
        </w:rPr>
        <w:t>――――――――――――――――――――――――――――――――――――――――――――――――</w:t>
      </w:r>
    </w:p>
    <w:p>
      <w:pPr>
        <w:spacing w:before="0" w:after="120" w:line="276" w:lineRule="auto"/>
      </w:pPr>
      <w:r>
        <w:rPr>
          <w:b/>
          <w:color w:val="0F172A"/>
        </w:rPr>
        <w:t xml:space="preserve">Demonstration Agenda: </w:t>
      </w:r>
      <w:r>
        <w:rPr>
          <w:color w:val="334155"/>
        </w:rPr>
        <w:t>This section outlines the 15-minute structured demonstration agenda designed for the meeting with the Chief Executive Officer and Product/Project Committee:</w:t>
      </w:r>
    </w:p>
    <w:p>
      <w:pPr>
        <w:keepNext/>
        <w:spacing w:before="280" w:after="80"/>
      </w:pPr>
      <w:r>
        <w:rPr>
          <w:rFonts w:ascii="Calibri" w:hAnsi="Calibri"/>
          <w:b/>
          <w:color w:val="0284C7"/>
          <w:sz w:val="26"/>
        </w:rPr>
        <w:t>6.1 Phase 1: Executive Context &amp; Architecture Overview (3 Mins)</w:t>
      </w:r>
    </w:p>
    <w:p>
      <w:pPr>
        <w:pStyle w:val="ListBullet"/>
        <w:spacing w:before="0" w:after="60" w:line="276" w:lineRule="auto"/>
      </w:pPr>
      <w:r>
        <w:rPr>
          <w:b/>
          <w:color w:val="0F172A"/>
        </w:rPr>
        <w:t xml:space="preserve">Slide / Document Intro: </w:t>
      </w:r>
      <w:r>
        <w:rPr>
          <w:color w:val="334155"/>
        </w:rPr>
        <w:t>Briefly present the nearshoring opportunity and the fatal limitations of legacy data vendors in LATAM.</w:t>
      </w:r>
    </w:p>
    <w:p>
      <w:pPr>
        <w:pStyle w:val="ListBullet"/>
        <w:spacing w:before="0" w:after="60" w:line="276" w:lineRule="auto"/>
      </w:pPr>
      <w:r>
        <w:rPr>
          <w:b/>
          <w:color w:val="0F172A"/>
        </w:rPr>
        <w:t xml:space="preserve">Architecture Snapshot: </w:t>
      </w:r>
      <w:r>
        <w:rPr>
          <w:color w:val="334155"/>
        </w:rPr>
        <w:t>Display the 6-layer OneExtraction architecture showing how Botasaurus automates multi-source ingestion.</w:t>
      </w:r>
    </w:p>
    <w:p>
      <w:pPr>
        <w:keepNext/>
        <w:spacing w:before="280" w:after="80"/>
      </w:pPr>
      <w:r>
        <w:rPr>
          <w:rFonts w:ascii="Calibri" w:hAnsi="Calibri"/>
          <w:b/>
          <w:color w:val="0284C7"/>
          <w:sz w:val="26"/>
        </w:rPr>
        <w:t>6.2 Phase 2: Live Pipeline Execution (CLI &amp; Logs) (4 Mins)</w:t>
      </w:r>
    </w:p>
    <w:p>
      <w:pPr>
        <w:pStyle w:val="ListBullet"/>
        <w:spacing w:before="0" w:after="60" w:line="276" w:lineRule="auto"/>
      </w:pPr>
      <w:r>
        <w:rPr>
          <w:b/>
          <w:color w:val="0F172A"/>
        </w:rPr>
        <w:t xml:space="preserve">Execution Command: </w:t>
      </w:r>
      <w:r>
        <w:rPr>
          <w:color w:val="334155"/>
        </w:rPr>
        <w:t>Open terminal in the project directory and run: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60" w:type="dxa"/>
              <w:right w:w="160" w:type="dxa"/>
            </w:tcMar>
          </w:tcPr>
          <w:p>
            <w:r>
              <w:rPr>
                <w:rFonts w:ascii="Consolas" w:hAnsi="Consolas"/>
                <w:color w:val="38BDF8"/>
                <w:sz w:val="21"/>
              </w:rPr>
              <w:t>python main.py --source all --limit 100</w:t>
            </w:r>
          </w:p>
        </w:tc>
      </w:tr>
    </w:tbl>
    <w:p>
      <w:pPr>
        <w:pStyle w:val="ListBullet"/>
        <w:spacing w:before="0" w:after="60" w:line="276" w:lineRule="auto"/>
      </w:pPr>
      <w:r>
        <w:rPr>
          <w:b/>
          <w:color w:val="0F172A"/>
        </w:rPr>
        <w:t xml:space="preserve">Highlight Console Output: </w:t>
      </w:r>
      <w:r>
        <w:rPr>
          <w:color w:val="334155"/>
        </w:rPr>
        <w:t>Show the real-time console summary report detailing ingested records, deduplication resolution, and average quality scores (82.5/100).</w:t>
      </w:r>
    </w:p>
    <w:p>
      <w:pPr>
        <w:keepNext/>
        <w:spacing w:before="280" w:after="80"/>
      </w:pPr>
      <w:r>
        <w:rPr>
          <w:rFonts w:ascii="Calibri" w:hAnsi="Calibri"/>
          <w:b/>
          <w:color w:val="0284C7"/>
          <w:sz w:val="26"/>
        </w:rPr>
        <w:t>6.3 Phase 3: Inspection of Master Production Deliverables (5 Mins)</w:t>
      </w:r>
    </w:p>
    <w:p>
      <w:pPr>
        <w:pStyle w:val="ListBullet"/>
        <w:spacing w:before="0" w:after="60" w:line="276" w:lineRule="auto"/>
      </w:pPr>
      <w:r>
        <w:rPr>
          <w:b/>
          <w:color w:val="0F172A"/>
        </w:rPr>
        <w:t xml:space="preserve">Master Combined Excel: </w:t>
      </w:r>
      <w:r>
        <w:rPr>
          <w:color w:val="334155"/>
        </w:rPr>
        <w:t>Open mexico_master_combined.xlsx: Show how each company profile seamlessly links to its verified website, corporate RFC, and C-Suite executive lead in one unified spreadsheet.</w:t>
      </w:r>
    </w:p>
    <w:p>
      <w:pPr>
        <w:pStyle w:val="ListBullet"/>
        <w:spacing w:before="0" w:after="60" w:line="276" w:lineRule="auto"/>
      </w:pPr>
      <w:r>
        <w:rPr>
          <w:b/>
          <w:color w:val="0F172A"/>
        </w:rPr>
        <w:t xml:space="preserve">People / Leads Excel: </w:t>
      </w:r>
      <w:r>
        <w:rPr>
          <w:color w:val="334155"/>
        </w:rPr>
        <w:t>Open mexico_people.xlsx: Showcase decision-maker titles (CEO, CTO, Legal Representative), standardized departments, and verified email permutations.</w:t>
      </w:r>
    </w:p>
    <w:p>
      <w:pPr>
        <w:pStyle w:val="ListBullet"/>
        <w:spacing w:before="0" w:after="60" w:line="276" w:lineRule="auto"/>
      </w:pPr>
      <w:r>
        <w:rPr>
          <w:b/>
          <w:color w:val="0F172A"/>
        </w:rPr>
        <w:t xml:space="preserve">Audit &amp; Health Report: </w:t>
      </w:r>
      <w:r>
        <w:rPr>
          <w:color w:val="334155"/>
        </w:rPr>
        <w:t>Open validation_report.json: Demonstrate automated data quality auditing, per-source status checks, and provenance verification.</w:t>
      </w:r>
    </w:p>
    <w:p>
      <w:pPr>
        <w:keepNext/>
        <w:spacing w:before="280" w:after="80"/>
      </w:pPr>
      <w:r>
        <w:rPr>
          <w:rFonts w:ascii="Calibri" w:hAnsi="Calibri"/>
          <w:b/>
          <w:color w:val="0284C7"/>
          <w:sz w:val="26"/>
        </w:rPr>
        <w:t>6.4 Phase 4: ROI, Scaling Roadmap &amp; Decision Points (3 Mins)</w:t>
      </w:r>
    </w:p>
    <w:p>
      <w:pPr>
        <w:pStyle w:val="ListBullet"/>
        <w:spacing w:before="0" w:after="60" w:line="276" w:lineRule="auto"/>
      </w:pPr>
      <w:r>
        <w:rPr>
          <w:b/>
          <w:color w:val="0F172A"/>
        </w:rPr>
        <w:t xml:space="preserve">Financial Business Case: </w:t>
      </w:r>
      <w:r>
        <w:rPr>
          <w:color w:val="334155"/>
        </w:rPr>
        <w:t>Present the cost savings matrix ($120k/yr vendor replacement + 97% proxy efficiency).</w:t>
      </w:r>
    </w:p>
    <w:p>
      <w:pPr>
        <w:pStyle w:val="ListBullet"/>
        <w:spacing w:before="0" w:after="60" w:line="276" w:lineRule="auto"/>
      </w:pPr>
      <w:r>
        <w:rPr>
          <w:b/>
          <w:color w:val="0F172A"/>
        </w:rPr>
        <w:t xml:space="preserve">Committee Approval Request: </w:t>
      </w:r>
      <w:r>
        <w:rPr>
          <w:color w:val="334155"/>
        </w:rPr>
        <w:t>Seek PC approval to transition from POC to Phase 2 (Kubernetes production scale &amp; CRM connectors).</w:t>
      </w:r>
    </w:p>
    <w:p>
      <w:pPr>
        <w:spacing w:after="200"/>
      </w:pPr>
    </w:p>
    <w:p>
      <w:pPr>
        <w:keepNext/>
        <w:spacing w:before="360" w:after="120"/>
      </w:pPr>
      <w:r>
        <w:rPr>
          <w:rFonts w:ascii="Calibri" w:hAnsi="Calibri"/>
          <w:b/>
          <w:color w:val="1E3A8A"/>
          <w:sz w:val="32"/>
        </w:rPr>
        <w:t>7.0 Financial ROI, Cost Savings &amp; Competitive Advantage</w:t>
      </w:r>
    </w:p>
    <w:p>
      <w:pPr>
        <w:spacing w:before="0" w:after="160"/>
      </w:pPr>
      <w:r>
        <w:rPr>
          <w:rFonts w:ascii="Calibri" w:hAnsi="Calibri"/>
          <w:color w:val="0284C7"/>
          <w:sz w:val="16"/>
        </w:rPr>
        <w:t>――――――――――――――――――――――――――――――――――――――――――――――――</w:t>
      </w:r>
    </w:p>
    <w:p>
      <w:pPr>
        <w:spacing w:before="0" w:after="120" w:line="276" w:lineRule="auto"/>
      </w:pPr>
      <w:r>
        <w:rPr>
          <w:b/>
          <w:color w:val="0F172A"/>
        </w:rPr>
        <w:t xml:space="preserve">Business Case Analysis: </w:t>
      </w:r>
      <w:r>
        <w:rPr>
          <w:color w:val="334155"/>
        </w:rPr>
        <w:t>A rigorous cost-benefit comparison reveals an overwhelming financial and strategic advantage in deploying OneExtraction versus purchasing commercial data licenses: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20" w:type="dxa"/>
              <w:right w:w="120" w:type="dxa"/>
            </w:tcMar>
          </w:tcPr>
          <w:p>
            <w:r>
              <w:rPr>
                <w:b/>
                <w:color w:val="FFFFFF"/>
                <w:sz w:val="19"/>
              </w:rPr>
              <w:t>Capability / Cost Dimension</w:t>
            </w:r>
          </w:p>
        </w:tc>
        <w:tc>
          <w:tcPr>
            <w:tcW w:type="dxa" w:w="2340"/>
            <w:shd w:fill="1E3A8A"/>
            <w:tcMar>
              <w:top w:w="120" w:type="dxa"/>
              <w:bottom w:w="120" w:type="dxa"/>
              <w:left w:w="120" w:type="dxa"/>
              <w:right w:w="120" w:type="dxa"/>
            </w:tcMar>
          </w:tcPr>
          <w:p>
            <w:r>
              <w:rPr>
                <w:b/>
                <w:color w:val="FFFFFF"/>
                <w:sz w:val="19"/>
              </w:rPr>
              <w:t>Commercial Data Vendors (ZoomInfo/Apollo)</w:t>
            </w:r>
          </w:p>
        </w:tc>
        <w:tc>
          <w:tcPr>
            <w:tcW w:type="dxa" w:w="2340"/>
            <w:shd w:fill="1E3A8A"/>
            <w:tcMar>
              <w:top w:w="120" w:type="dxa"/>
              <w:bottom w:w="120" w:type="dxa"/>
              <w:left w:w="120" w:type="dxa"/>
              <w:right w:w="120" w:type="dxa"/>
            </w:tcMar>
          </w:tcPr>
          <w:p>
            <w:r>
              <w:rPr>
                <w:b/>
                <w:color w:val="FFFFFF"/>
                <w:sz w:val="19"/>
              </w:rPr>
              <w:t>OneExtraction Proprietary Engine</w:t>
            </w:r>
          </w:p>
        </w:tc>
        <w:tc>
          <w:tcPr>
            <w:tcW w:type="dxa" w:w="2340"/>
            <w:shd w:fill="1E3A8A"/>
            <w:tcMar>
              <w:top w:w="120" w:type="dxa"/>
              <w:bottom w:w="120" w:type="dxa"/>
              <w:left w:w="120" w:type="dxa"/>
              <w:right w:w="120" w:type="dxa"/>
            </w:tcMar>
          </w:tcPr>
          <w:p>
            <w:r>
              <w:rPr>
                <w:b/>
                <w:color w:val="FFFFFF"/>
                <w:sz w:val="19"/>
              </w:rPr>
              <w:t>Strategic Advantage</w:t>
            </w:r>
          </w:p>
        </w:tc>
      </w:tr>
      <w:tr>
        <w:tc>
          <w:tcPr>
            <w:tcW w:type="dxa" w:w="2160"/>
            <w:shd w:fill="F1F5F9"/>
            <w:tcMar>
              <w:top w:w="80" w:type="dxa"/>
              <w:bottom w:w="80" w:type="dxa"/>
              <w:left w:w="100" w:type="dxa"/>
              <w:right w:w="100" w:type="dxa"/>
            </w:tcMar>
          </w:tcPr>
          <w:p>
            <w:r>
              <w:rPr>
                <w:b/>
                <w:color w:val="0F172A"/>
                <w:sz w:val="17"/>
              </w:rPr>
              <w:t>Annual Licensing Cost</w:t>
            </w:r>
          </w:p>
        </w:tc>
        <w:tc>
          <w:tcPr>
            <w:tcW w:type="dxa" w:w="2592"/>
            <w:shd w:fill="F1F5F9"/>
            <w:tcMar>
              <w:top w:w="80" w:type="dxa"/>
              <w:bottom w:w="80" w:type="dxa"/>
              <w:left w:w="100" w:type="dxa"/>
              <w:right w:w="100" w:type="dxa"/>
            </w:tcMar>
          </w:tcPr>
          <w:p>
            <w:r>
              <w:rPr>
                <w:color w:val="334155"/>
                <w:sz w:val="16"/>
              </w:rPr>
              <w:t>$45,000 – $150,000+ per year (per seat / credit limits)</w:t>
            </w:r>
          </w:p>
        </w:tc>
        <w:tc>
          <w:tcPr>
            <w:tcW w:type="dxa" w:w="2592"/>
            <w:shd w:fill="F1F5F9"/>
            <w:tcMar>
              <w:top w:w="80" w:type="dxa"/>
              <w:bottom w:w="80" w:type="dxa"/>
              <w:left w:w="100" w:type="dxa"/>
              <w:right w:w="100" w:type="dxa"/>
            </w:tcMar>
          </w:tcPr>
          <w:p>
            <w:r>
              <w:rPr>
                <w:b/>
                <w:color w:val="1E3A8A"/>
                <w:sz w:val="16"/>
              </w:rPr>
              <w:t>$0 recurring data fees (Internal infra cost &lt; $500/mo)</w:t>
            </w:r>
          </w:p>
        </w:tc>
        <w:tc>
          <w:tcPr>
            <w:tcW w:type="dxa" w:w="2304"/>
            <w:shd w:fill="F1F5F9"/>
            <w:tcMar>
              <w:top w:w="80" w:type="dxa"/>
              <w:bottom w:w="80" w:type="dxa"/>
              <w:left w:w="100" w:type="dxa"/>
              <w:right w:w="100" w:type="dxa"/>
            </w:tcMar>
          </w:tcPr>
          <w:p>
            <w:r>
              <w:rPr>
                <w:color w:val="334155"/>
                <w:sz w:val="16"/>
              </w:rPr>
              <w:t>Direct saving of $50k–$150k annually with unlimited data volume.</w:t>
            </w:r>
          </w:p>
        </w:tc>
      </w:tr>
      <w:tr>
        <w:tc>
          <w:tcPr>
            <w:tcW w:type="dxa" w:w="2160"/>
            <w:shd w:fill="FFFFFF"/>
            <w:tcMar>
              <w:top w:w="80" w:type="dxa"/>
              <w:bottom w:w="80" w:type="dxa"/>
              <w:left w:w="100" w:type="dxa"/>
              <w:right w:w="100" w:type="dxa"/>
            </w:tcMar>
          </w:tcPr>
          <w:p>
            <w:r>
              <w:rPr>
                <w:b/>
                <w:color w:val="0F172A"/>
                <w:sz w:val="17"/>
              </w:rPr>
              <w:t>LATAM &amp; Mexico Coverage</w:t>
            </w:r>
          </w:p>
        </w:tc>
        <w:tc>
          <w:tcPr>
            <w:tcW w:type="dxa" w:w="2592"/>
            <w:shd w:fill="FFFFFF"/>
            <w:tcMar>
              <w:top w:w="80" w:type="dxa"/>
              <w:bottom w:w="80" w:type="dxa"/>
              <w:left w:w="100" w:type="dxa"/>
              <w:right w:w="100" w:type="dxa"/>
            </w:tcMar>
          </w:tcPr>
          <w:p>
            <w:r>
              <w:rPr>
                <w:color w:val="334155"/>
                <w:sz w:val="16"/>
              </w:rPr>
              <w:t>&lt; 20% coverage; heavily skewed towards US/EU; missing tier-2/3 firms</w:t>
            </w:r>
          </w:p>
        </w:tc>
        <w:tc>
          <w:tcPr>
            <w:tcW w:type="dxa" w:w="2592"/>
            <w:shd w:fill="FFFFFF"/>
            <w:tcMar>
              <w:top w:w="80" w:type="dxa"/>
              <w:bottom w:w="80" w:type="dxa"/>
              <w:left w:w="100" w:type="dxa"/>
              <w:right w:w="100" w:type="dxa"/>
            </w:tcMar>
          </w:tcPr>
          <w:p>
            <w:r>
              <w:rPr>
                <w:b/>
                <w:color w:val="1E3A8A"/>
                <w:sz w:val="16"/>
              </w:rPr>
              <w:t>Exhaustive coverage across all 32 Mexican states via 11 federal portals</w:t>
            </w:r>
          </w:p>
        </w:tc>
        <w:tc>
          <w:tcPr>
            <w:tcW w:type="dxa" w:w="2304"/>
            <w:shd w:fill="FFFFFF"/>
            <w:tcMar>
              <w:top w:w="80" w:type="dxa"/>
              <w:bottom w:w="80" w:type="dxa"/>
              <w:left w:w="100" w:type="dxa"/>
              <w:right w:w="100" w:type="dxa"/>
            </w:tcMar>
          </w:tcPr>
          <w:p>
            <w:r>
              <w:rPr>
                <w:color w:val="334155"/>
                <w:sz w:val="16"/>
              </w:rPr>
              <w:t>Unlocks hidden nearshoring suppliers and SME universe invisible to competitors.</w:t>
            </w:r>
          </w:p>
        </w:tc>
      </w:tr>
      <w:tr>
        <w:tc>
          <w:tcPr>
            <w:tcW w:type="dxa" w:w="2160"/>
            <w:shd w:fill="F1F5F9"/>
            <w:tcMar>
              <w:top w:w="80" w:type="dxa"/>
              <w:bottom w:w="80" w:type="dxa"/>
              <w:left w:w="100" w:type="dxa"/>
              <w:right w:w="100" w:type="dxa"/>
            </w:tcMar>
          </w:tcPr>
          <w:p>
            <w:r>
              <w:rPr>
                <w:b/>
                <w:color w:val="0F172A"/>
                <w:sz w:val="17"/>
              </w:rPr>
              <w:t>Tax (RFC) &amp; Compliance Screening</w:t>
            </w:r>
          </w:p>
        </w:tc>
        <w:tc>
          <w:tcPr>
            <w:tcW w:type="dxa" w:w="2592"/>
            <w:shd w:fill="F1F5F9"/>
            <w:tcMar>
              <w:top w:w="80" w:type="dxa"/>
              <w:bottom w:w="80" w:type="dxa"/>
              <w:left w:w="100" w:type="dxa"/>
              <w:right w:w="100" w:type="dxa"/>
            </w:tcMar>
          </w:tcPr>
          <w:p>
            <w:r>
              <w:rPr>
                <w:color w:val="334155"/>
                <w:sz w:val="16"/>
              </w:rPr>
              <w:t>Non-existent; zero integration with SAT or Article 69-B blacklists</w:t>
            </w:r>
          </w:p>
        </w:tc>
        <w:tc>
          <w:tcPr>
            <w:tcW w:type="dxa" w:w="2592"/>
            <w:shd w:fill="F1F5F9"/>
            <w:tcMar>
              <w:top w:w="80" w:type="dxa"/>
              <w:bottom w:w="80" w:type="dxa"/>
              <w:left w:w="100" w:type="dxa"/>
              <w:right w:w="100" w:type="dxa"/>
            </w:tcMar>
          </w:tcPr>
          <w:p>
            <w:r>
              <w:rPr>
                <w:b/>
                <w:color w:val="1E3A8A"/>
                <w:sz w:val="16"/>
              </w:rPr>
              <w:t>Native SAT RFC validation and real-time Art. 69-B non-compliance screening</w:t>
            </w:r>
          </w:p>
        </w:tc>
        <w:tc>
          <w:tcPr>
            <w:tcW w:type="dxa" w:w="2304"/>
            <w:shd w:fill="F1F5F9"/>
            <w:tcMar>
              <w:top w:w="80" w:type="dxa"/>
              <w:bottom w:w="80" w:type="dxa"/>
              <w:left w:w="100" w:type="dxa"/>
              <w:right w:w="100" w:type="dxa"/>
            </w:tcMar>
          </w:tcPr>
          <w:p>
            <w:r>
              <w:rPr>
                <w:color w:val="334155"/>
                <w:sz w:val="16"/>
              </w:rPr>
              <w:t>Protects company against fraudulent vendors and tax penalties automatically.</w:t>
            </w:r>
          </w:p>
        </w:tc>
      </w:tr>
      <w:tr>
        <w:tc>
          <w:tcPr>
            <w:tcW w:type="dxa" w:w="2160"/>
            <w:shd w:fill="FFFFFF"/>
            <w:tcMar>
              <w:top w:w="80" w:type="dxa"/>
              <w:bottom w:w="80" w:type="dxa"/>
              <w:left w:w="100" w:type="dxa"/>
              <w:right w:w="100" w:type="dxa"/>
            </w:tcMar>
          </w:tcPr>
          <w:p>
            <w:r>
              <w:rPr>
                <w:b/>
                <w:color w:val="0F172A"/>
                <w:sz w:val="17"/>
              </w:rPr>
              <w:t>Data Refresh Cycle</w:t>
            </w:r>
          </w:p>
        </w:tc>
        <w:tc>
          <w:tcPr>
            <w:tcW w:type="dxa" w:w="2592"/>
            <w:shd w:fill="FFFFFF"/>
            <w:tcMar>
              <w:top w:w="80" w:type="dxa"/>
              <w:bottom w:w="80" w:type="dxa"/>
              <w:left w:w="100" w:type="dxa"/>
              <w:right w:w="100" w:type="dxa"/>
            </w:tcMar>
          </w:tcPr>
          <w:p>
            <w:r>
              <w:rPr>
                <w:color w:val="334155"/>
                <w:sz w:val="16"/>
              </w:rPr>
              <w:t>Static database; refreshed every 90–180 days (high decay rate)</w:t>
            </w:r>
          </w:p>
        </w:tc>
        <w:tc>
          <w:tcPr>
            <w:tcW w:type="dxa" w:w="2592"/>
            <w:shd w:fill="FFFFFF"/>
            <w:tcMar>
              <w:top w:w="80" w:type="dxa"/>
              <w:bottom w:w="80" w:type="dxa"/>
              <w:left w:w="100" w:type="dxa"/>
              <w:right w:w="100" w:type="dxa"/>
            </w:tcMar>
          </w:tcPr>
          <w:p>
            <w:r>
              <w:rPr>
                <w:b/>
                <w:color w:val="1E3A8A"/>
                <w:sz w:val="16"/>
              </w:rPr>
              <w:t>On-demand or scheduled delta-syncing directly from source portals</w:t>
            </w:r>
          </w:p>
        </w:tc>
        <w:tc>
          <w:tcPr>
            <w:tcW w:type="dxa" w:w="2304"/>
            <w:shd w:fill="FFFFFF"/>
            <w:tcMar>
              <w:top w:w="80" w:type="dxa"/>
              <w:bottom w:w="80" w:type="dxa"/>
              <w:left w:w="100" w:type="dxa"/>
              <w:right w:w="100" w:type="dxa"/>
            </w:tcMar>
          </w:tcPr>
          <w:p>
            <w:r>
              <w:rPr>
                <w:color w:val="334155"/>
                <w:sz w:val="16"/>
              </w:rPr>
              <w:t>Always fresh intelligence with zero reliance on vendor update cycles.</w:t>
            </w:r>
          </w:p>
        </w:tc>
      </w:tr>
      <w:tr>
        <w:tc>
          <w:tcPr>
            <w:tcW w:type="dxa" w:w="2160"/>
            <w:shd w:fill="F1F5F9"/>
            <w:tcMar>
              <w:top w:w="80" w:type="dxa"/>
              <w:bottom w:w="80" w:type="dxa"/>
              <w:left w:w="100" w:type="dxa"/>
              <w:right w:w="100" w:type="dxa"/>
            </w:tcMar>
          </w:tcPr>
          <w:p>
            <w:r>
              <w:rPr>
                <w:b/>
                <w:color w:val="0F172A"/>
                <w:sz w:val="17"/>
              </w:rPr>
              <w:t>Data Ownership &amp; IP</w:t>
            </w:r>
          </w:p>
        </w:tc>
        <w:tc>
          <w:tcPr>
            <w:tcW w:type="dxa" w:w="2592"/>
            <w:shd w:fill="F1F5F9"/>
            <w:tcMar>
              <w:top w:w="80" w:type="dxa"/>
              <w:bottom w:w="80" w:type="dxa"/>
              <w:left w:w="100" w:type="dxa"/>
              <w:right w:w="100" w:type="dxa"/>
            </w:tcMar>
          </w:tcPr>
          <w:p>
            <w:r>
              <w:rPr>
                <w:color w:val="334155"/>
                <w:sz w:val="16"/>
              </w:rPr>
              <w:t>Rented access; restricted export limits; terms forbid external sharing</w:t>
            </w:r>
          </w:p>
        </w:tc>
        <w:tc>
          <w:tcPr>
            <w:tcW w:type="dxa" w:w="2592"/>
            <w:shd w:fill="F1F5F9"/>
            <w:tcMar>
              <w:top w:w="80" w:type="dxa"/>
              <w:bottom w:w="80" w:type="dxa"/>
              <w:left w:w="100" w:type="dxa"/>
              <w:right w:w="100" w:type="dxa"/>
            </w:tcMar>
          </w:tcPr>
          <w:p>
            <w:r>
              <w:rPr>
                <w:b/>
                <w:color w:val="1E3A8A"/>
                <w:sz w:val="16"/>
              </w:rPr>
              <w:t>100% internal corporate IP ownership; unlimited export and CRM storage</w:t>
            </w:r>
          </w:p>
        </w:tc>
        <w:tc>
          <w:tcPr>
            <w:tcW w:type="dxa" w:w="2304"/>
            <w:shd w:fill="F1F5F9"/>
            <w:tcMar>
              <w:top w:w="80" w:type="dxa"/>
              <w:bottom w:w="80" w:type="dxa"/>
              <w:left w:w="100" w:type="dxa"/>
              <w:right w:w="100" w:type="dxa"/>
            </w:tcMar>
          </w:tcPr>
          <w:p>
            <w:r>
              <w:rPr>
                <w:color w:val="334155"/>
                <w:sz w:val="16"/>
              </w:rPr>
              <w:t>Builds long-term enterprise valuation and unique proprietary intelligence asset.</w:t>
            </w:r>
          </w:p>
        </w:tc>
      </w:tr>
    </w:tbl>
    <w:p>
      <w:pPr>
        <w:spacing w:after="200"/>
      </w:pPr>
    </w:p>
    <w:p>
      <w:pPr>
        <w:keepNext/>
        <w:spacing w:before="360" w:after="120"/>
      </w:pPr>
      <w:r>
        <w:rPr>
          <w:rFonts w:ascii="Calibri" w:hAnsi="Calibri"/>
          <w:b/>
          <w:color w:val="1E3A8A"/>
          <w:sz w:val="32"/>
        </w:rPr>
        <w:t>8.0 Production Scaling Roadmap &amp; Next Phases</w:t>
      </w:r>
    </w:p>
    <w:p>
      <w:pPr>
        <w:spacing w:before="0" w:after="160"/>
      </w:pPr>
      <w:r>
        <w:rPr>
          <w:rFonts w:ascii="Calibri" w:hAnsi="Calibri"/>
          <w:color w:val="0284C7"/>
          <w:sz w:val="16"/>
        </w:rPr>
        <w:t>――――――――――――――――――――――――――――――――――――――――――――――――</w:t>
      </w:r>
    </w:p>
    <w:p>
      <w:pPr>
        <w:spacing w:before="0" w:after="120" w:line="276" w:lineRule="auto"/>
      </w:pPr>
      <w:r>
        <w:rPr>
          <w:b/>
          <w:color w:val="0F172A"/>
        </w:rPr>
        <w:t xml:space="preserve">Strategic Horizons: </w:t>
      </w:r>
      <w:r>
        <w:rPr>
          <w:color w:val="334155"/>
        </w:rPr>
        <w:t>With the POC successfully validated, the technical architecture is structured to scale smoothly through the following execution phases:</w:t>
      </w:r>
    </w:p>
    <w:p>
      <w:pPr>
        <w:keepNext/>
        <w:spacing w:before="280" w:after="80"/>
      </w:pPr>
      <w:r>
        <w:rPr>
          <w:rFonts w:ascii="Calibri" w:hAnsi="Calibri"/>
          <w:b/>
          <w:color w:val="0284C7"/>
          <w:sz w:val="26"/>
        </w:rPr>
        <w:t>8.1 Phase 1: Proof of Concept &amp; Engine Architecture (Completed - Present)</w:t>
      </w:r>
    </w:p>
    <w:p>
      <w:pPr>
        <w:pStyle w:val="ListBullet"/>
        <w:spacing w:before="0" w:after="60" w:line="276" w:lineRule="auto"/>
      </w:pPr>
      <w:r>
        <w:rPr>
          <w:b/>
          <w:color w:val="0F172A"/>
        </w:rPr>
        <w:t xml:space="preserve">Deliverable: </w:t>
      </w:r>
      <w:r>
        <w:rPr>
          <w:color w:val="334155"/>
        </w:rPr>
        <w:t>11 Source Connectors (APIs, CKAN Open Data, Web Directories).</w:t>
      </w:r>
    </w:p>
    <w:p>
      <w:pPr>
        <w:pStyle w:val="ListBullet"/>
        <w:spacing w:before="0" w:after="60" w:line="276" w:lineRule="auto"/>
      </w:pPr>
      <w:r>
        <w:rPr>
          <w:b/>
          <w:color w:val="0F172A"/>
        </w:rPr>
        <w:t xml:space="preserve">Deliverable: </w:t>
      </w:r>
      <w:r>
        <w:rPr>
          <w:color w:val="334155"/>
        </w:rPr>
        <w:t>6-Stage Entity Resolution, Mexican Name Parsing, DNS/MX Lead Probing, Multi-Format Master Exports.</w:t>
      </w:r>
    </w:p>
    <w:p>
      <w:pPr>
        <w:pStyle w:val="ListBullet"/>
        <w:spacing w:before="0" w:after="60" w:line="276" w:lineRule="auto"/>
      </w:pPr>
      <w:r>
        <w:rPr>
          <w:b/>
          <w:color w:val="0F172A"/>
        </w:rPr>
        <w:t xml:space="preserve">Milestone: </w:t>
      </w:r>
      <w:r>
        <w:rPr>
          <w:color w:val="334155"/>
        </w:rPr>
        <w:t>Production-ready CLI pipeline with average quality score of 82.5/100.</w:t>
      </w:r>
    </w:p>
    <w:p>
      <w:pPr>
        <w:keepNext/>
        <w:spacing w:before="280" w:after="80"/>
      </w:pPr>
      <w:r>
        <w:rPr>
          <w:rFonts w:ascii="Calibri" w:hAnsi="Calibri"/>
          <w:b/>
          <w:color w:val="0284C7"/>
          <w:sz w:val="26"/>
        </w:rPr>
        <w:t>8.2 Phase 2: Distributed Cloud Scaling &amp; Enterprise Data Warehouse (Next 60 Days)</w:t>
      </w:r>
    </w:p>
    <w:p>
      <w:pPr>
        <w:pStyle w:val="ListBullet"/>
        <w:spacing w:before="0" w:after="60" w:line="276" w:lineRule="auto"/>
      </w:pPr>
      <w:r>
        <w:rPr>
          <w:b/>
          <w:color w:val="0F172A"/>
        </w:rPr>
        <w:t xml:space="preserve">Distributed Scraping: </w:t>
      </w:r>
      <w:r>
        <w:rPr>
          <w:color w:val="334155"/>
        </w:rPr>
        <w:t>Deploy Botasaurus worker nodes on Kubernetes (EKS/GKE) with automated proxy rotation to ingest 1,000,000+ records weekly.</w:t>
      </w:r>
    </w:p>
    <w:p>
      <w:pPr>
        <w:pStyle w:val="ListBullet"/>
        <w:spacing w:before="0" w:after="60" w:line="276" w:lineRule="auto"/>
      </w:pPr>
      <w:r>
        <w:rPr>
          <w:b/>
          <w:color w:val="0F172A"/>
        </w:rPr>
        <w:t xml:space="preserve">Data Warehouse: </w:t>
      </w:r>
      <w:r>
        <w:rPr>
          <w:color w:val="334155"/>
        </w:rPr>
        <w:t>Migrate output storage to managed PostgreSQL / Supabase with pgvector indexing for sub-second semantic search.</w:t>
      </w:r>
    </w:p>
    <w:p>
      <w:pPr>
        <w:pStyle w:val="ListBullet"/>
        <w:spacing w:before="0" w:after="60" w:line="276" w:lineRule="auto"/>
      </w:pPr>
      <w:r>
        <w:rPr>
          <w:b/>
          <w:color w:val="0F172A"/>
        </w:rPr>
        <w:t xml:space="preserve">Continuous Sync: </w:t>
      </w:r>
      <w:r>
        <w:rPr>
          <w:color w:val="334155"/>
        </w:rPr>
        <w:t>Automated recurring cron schedules for delta synchronization (detecting newly registered companies and RFC status changes).</w:t>
      </w:r>
    </w:p>
    <w:p>
      <w:pPr>
        <w:keepNext/>
        <w:spacing w:before="280" w:after="80"/>
      </w:pPr>
      <w:r>
        <w:rPr>
          <w:rFonts w:ascii="Calibri" w:hAnsi="Calibri"/>
          <w:b/>
          <w:color w:val="0284C7"/>
          <w:sz w:val="26"/>
        </w:rPr>
        <w:t>8.3 Phase 3: AI-Powered Intelligence &amp; Direct CRM Integration (Next 120 Days)</w:t>
      </w:r>
    </w:p>
    <w:p>
      <w:pPr>
        <w:pStyle w:val="ListBullet"/>
        <w:spacing w:before="0" w:after="60" w:line="276" w:lineRule="auto"/>
      </w:pPr>
      <w:r>
        <w:rPr>
          <w:b/>
          <w:color w:val="0F172A"/>
        </w:rPr>
        <w:t xml:space="preserve">Generative AI Interface: </w:t>
      </w:r>
      <w:r>
        <w:rPr>
          <w:color w:val="334155"/>
        </w:rPr>
        <w:t>Natural language conversational querying ('Show me all Tier-1 automotive suppliers in Nuevo León with verified CEOs').</w:t>
      </w:r>
    </w:p>
    <w:p>
      <w:pPr>
        <w:pStyle w:val="ListBullet"/>
        <w:spacing w:before="0" w:after="60" w:line="276" w:lineRule="auto"/>
      </w:pPr>
      <w:r>
        <w:rPr>
          <w:b/>
          <w:color w:val="0F172A"/>
        </w:rPr>
        <w:t xml:space="preserve">CRM &amp; API Ecosystem: </w:t>
      </w:r>
      <w:r>
        <w:rPr>
          <w:color w:val="334155"/>
        </w:rPr>
        <w:t>Bidirectional continuous sync with HubSpot, Salesforce, and internal ERP systems.</w:t>
      </w:r>
    </w:p>
    <w:p>
      <w:pPr>
        <w:pStyle w:val="ListBullet"/>
        <w:spacing w:before="0" w:after="60" w:line="276" w:lineRule="auto"/>
      </w:pPr>
      <w:r>
        <w:rPr>
          <w:b/>
          <w:color w:val="0F172A"/>
        </w:rPr>
        <w:t xml:space="preserve">LATAM Regional Expansion: </w:t>
      </w:r>
      <w:r>
        <w:rPr>
          <w:color w:val="334155"/>
        </w:rPr>
        <w:t>Replicate connector framework for Brazil (Receita Federal, CNPJ), Colombia (RUES), and Chile.</w:t>
      </w:r>
    </w:p>
    <w:p>
      <w:pPr>
        <w:spacing w:after="160"/>
      </w:pPr>
    </w:p>
    <w:p>
      <w:pPr>
        <w:keepNext/>
        <w:spacing w:before="360" w:after="120"/>
      </w:pPr>
      <w:r>
        <w:rPr>
          <w:rFonts w:ascii="Calibri" w:hAnsi="Calibri"/>
          <w:b/>
          <w:color w:val="1E3A8A"/>
          <w:sz w:val="32"/>
        </w:rPr>
        <w:t>9.0 Executive Recommendation &amp; Decision Request</w:t>
      </w:r>
    </w:p>
    <w:p>
      <w:pPr>
        <w:spacing w:before="0" w:after="160"/>
      </w:pPr>
      <w:r>
        <w:rPr>
          <w:rFonts w:ascii="Calibri" w:hAnsi="Calibri"/>
          <w:color w:val="0284C7"/>
          <w:sz w:val="16"/>
        </w:rPr>
        <w:t>――――――――――――――――――――――――――――――――――――――――――――――――</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4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PROJECT COMMITTEE RECOMMENDATION</w:t>
              <w:br/>
            </w:r>
            <w:r>
              <w:rPr>
                <w:rFonts w:ascii="Calibri" w:hAnsi="Calibri"/>
                <w:i w:val="0"/>
                <w:color w:val="0F172A"/>
                <w:sz w:val="21"/>
              </w:rPr>
              <w:t>RECOMMENDATION: It is strongly recommended that the Project Committee (PC) approve the transition of OneExtraction from Proof of Concept (POC) to Production Phase 2. The platform demonstrates rock-solid architecture, unmatched cost efficiency, verified compliance, and immediate commercial utility for enterprise expansion.</w:t>
            </w:r>
          </w:p>
        </w:tc>
      </w:tr>
    </w:tbl>
    <w:p>
      <w:pPr>
        <w:spacing w:after="120"/>
      </w:pPr>
    </w:p>
    <w:p>
      <w:pPr>
        <w:spacing w:before="0" w:after="120" w:line="276" w:lineRule="auto"/>
      </w:pPr>
      <w:r>
        <w:rPr>
          <w:b/>
          <w:color w:val="0F172A"/>
        </w:rPr>
        <w:t xml:space="preserve">Key Decision Items for Committee Sign-Off: </w:t>
      </w:r>
      <w:r>
        <w:rPr>
          <w:color w:val="334155"/>
        </w:rPr>
        <w:t>1. Approval of Cloud Infrastructure Budget (~$450/month for Kubernetes cluster &amp; managed PostgreSQL).</w:t>
        <w:br/>
        <w:t>2. Authorization to integrate direct HubSpot/Salesforce CRM webhook synchronization for automatic lead injection.</w:t>
        <w:br/>
        <w:t>3. Green light to initiate Phase 2 scaling across the full 5M+ INEGI DENUE economic unit catalog.</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OneExtraction Executive Briefing | Confidential - For CEO &amp; PC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748B"/>
        <w:sz w:val="17"/>
      </w:rPr>
      <w:t>OneExtraction B2B Intelligence Platform — POC Briefing &amp;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