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b/>
          <w:color w:val="1E3A8A"/>
          <w:sz w:val="44"/>
        </w:rPr>
        <w:t>ONEEXTRACTION: MASTER TECHNICAL &amp; OPERATIONAL BLUEPRINT</w:t>
      </w:r>
    </w:p>
    <w:p>
      <w:pPr>
        <w:spacing w:before="0" w:after="280"/>
      </w:pPr>
      <w:r>
        <w:rPr>
          <w:color w:val="0284C7"/>
          <w:sz w:val="26"/>
        </w:rPr>
        <w:t>Complete End-to-End Implementation, Data Sources, API Pricing, Validation Engine, Storage Architecture, and Schema Reference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Document Focus: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Comprehensive Technical, Operational, and Architectural Blueprint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System &amp; Scope: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OneExtraction Engine — Mexico &amp; LATAM B2B Corporate Universe (7.1M Establishments)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Core Stack: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Botasaurus Anti-Detection, Python 3.12, 6-Stage Dedup, DNS/MX Lead Probing, SQLite/PostgreSQL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Version &amp; Status: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Production Architecture Guide | Version 2.4 | September 2026</w:t>
            </w:r>
          </w:p>
        </w:tc>
      </w:tr>
    </w:tbl>
    <w:p>
      <w:pPr>
        <w:spacing w:after="200"/>
      </w:pPr>
    </w:p>
    <w:p>
      <w:pPr>
        <w:keepNext/>
        <w:spacing w:before="360" w:after="80"/>
      </w:pPr>
      <w:r>
        <w:rPr>
          <w:rFonts w:ascii="Calibri" w:hAnsi="Calibri"/>
          <w:b/>
          <w:color w:val="1E3A8A"/>
          <w:sz w:val="30"/>
        </w:rPr>
        <w:t>1.0 Comprehensive Data Sources Catalog (11 Integrated Portals)</w:t>
      </w:r>
    </w:p>
    <w:p>
      <w:pPr>
        <w:spacing w:before="0" w:after="160"/>
      </w:pPr>
      <w:r>
        <w:rPr>
          <w:rFonts w:ascii="Calibri" w:hAnsi="Calibri"/>
          <w:color w:val="0284C7"/>
          <w:sz w:val="16"/>
        </w:rPr>
        <w:t>――――――――――――――――――――――――――――――――――――――――――――――――――</w:t>
      </w:r>
    </w:p>
    <w:p>
      <w:pPr>
        <w:spacing w:before="0" w:after="100" w:line="276" w:lineRule="auto"/>
      </w:pPr>
      <w:r>
        <w:rPr>
          <w:color w:val="334155"/>
        </w:rPr>
        <w:t>OneExtraction ingests corporate, tax, compliance, and industrial intelligence across 11 official Mexican public registries and commercial directories: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Source Key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Official Name &amp; Entity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Access Channel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Strategic Scope &amp; Records</w:t>
            </w:r>
          </w:p>
        </w:tc>
      </w:tr>
      <w:tr>
        <w:tc>
          <w:tcPr>
            <w:tcW w:type="dxa" w:w="1584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DENUE</w:t>
            </w:r>
          </w:p>
        </w:tc>
        <w:tc>
          <w:tcPr>
            <w:tcW w:type="dxa" w:w="316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6"/>
              </w:rPr>
              <w:t>INEGI - Directorio Estadístico Nacional de Unidades Económicas</w:t>
            </w:r>
          </w:p>
        </w:tc>
        <w:tc>
          <w:tcPr>
            <w:tcW w:type="dxa" w:w="216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REST API &amp; Bulk CSV (Open Data)</w:t>
            </w:r>
          </w:p>
        </w:tc>
        <w:tc>
          <w:tcPr>
            <w:tcW w:type="dxa" w:w="244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5.5M – 7.1M economic units across all 32 states; SCIAN codes, employee ranges, lat/long.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SIEM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6"/>
              </w:rPr>
              <w:t>Secretaría de Economía - Sistema de Información Empresarial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CKAN Open Data API / CSV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Official ministry business directory; registered legal names, corporate phones, official emails.</w:t>
            </w:r>
          </w:p>
        </w:tc>
      </w:tr>
      <w:tr>
        <w:tc>
          <w:tcPr>
            <w:tcW w:type="dxa" w:w="1584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SAT</w:t>
            </w:r>
          </w:p>
        </w:tc>
        <w:tc>
          <w:tcPr>
            <w:tcW w:type="dxa" w:w="316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6"/>
              </w:rPr>
              <w:t>Servicio de Administración Tributaria (Tax Authority)</w:t>
            </w:r>
          </w:p>
        </w:tc>
        <w:tc>
          <w:tcPr>
            <w:tcW w:type="dxa" w:w="216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CSV Open Data &amp; Web Validator</w:t>
            </w:r>
          </w:p>
        </w:tc>
        <w:tc>
          <w:tcPr>
            <w:tcW w:type="dxa" w:w="244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Art. 69/69-B non-compliant blacklist (EFOS/phantom firms), official RFC tax validation.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SUPPLIER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6"/>
              </w:rPr>
              <w:t>CompraNet / SFP (Padrón de Proveedores y Contratistas)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CKAN Open Data / CSV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Federal procurement vendors, contractor histories, legal representative names.</w:t>
            </w:r>
          </w:p>
        </w:tc>
      </w:tr>
      <w:tr>
        <w:tc>
          <w:tcPr>
            <w:tcW w:type="dxa" w:w="1584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DATOS_GOB</w:t>
            </w:r>
          </w:p>
        </w:tc>
        <w:tc>
          <w:tcPr>
            <w:tcW w:type="dxa" w:w="316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6"/>
              </w:rPr>
              <w:t>Catálogo Nacional de Datos Abiertos (datos.gob.mx)</w:t>
            </w:r>
          </w:p>
        </w:tc>
        <w:tc>
          <w:tcPr>
            <w:tcW w:type="dxa" w:w="216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CKAN REST API / JSON</w:t>
            </w:r>
          </w:p>
        </w:tc>
        <w:tc>
          <w:tcPr>
            <w:tcW w:type="dxa" w:w="244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National open-data catalog for cross-referencing industry-specific government registries.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CANACINTRA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6"/>
              </w:rPr>
              <w:t>Cámara Nacional de la Industria de Transformación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Web Directory / Botasaurus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Tier-1 &amp; Tier-2 manufacturing plants, industrial supply chain chambers across Mexico.</w:t>
            </w:r>
          </w:p>
        </w:tc>
      </w:tr>
      <w:tr>
        <w:tc>
          <w:tcPr>
            <w:tcW w:type="dxa" w:w="1584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AMCHAM</w:t>
            </w:r>
          </w:p>
        </w:tc>
        <w:tc>
          <w:tcPr>
            <w:tcW w:type="dxa" w:w="316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6"/>
              </w:rPr>
              <w:t>American Chamber of Commerce in Mexico</w:t>
            </w:r>
          </w:p>
        </w:tc>
        <w:tc>
          <w:tcPr>
            <w:tcW w:type="dxa" w:w="216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Corporate Directory / Botasaurus</w:t>
            </w:r>
          </w:p>
        </w:tc>
        <w:tc>
          <w:tcPr>
            <w:tcW w:type="dxa" w:w="244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US-Mexico multinational corporations, cross-border nearshoring enterprises, executive contacts.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COSMOS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6"/>
              </w:rPr>
              <w:t>COSMOS Online B2B Industrial Sourcing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Web Directory / Botasaurus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Premier Mexican industrial procurement portal, chemical &amp; raw material suppliers.</w:t>
            </w:r>
          </w:p>
        </w:tc>
      </w:tr>
      <w:tr>
        <w:tc>
          <w:tcPr>
            <w:tcW w:type="dxa" w:w="1584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QUIMINET</w:t>
            </w:r>
          </w:p>
        </w:tc>
        <w:tc>
          <w:tcPr>
            <w:tcW w:type="dxa" w:w="316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6"/>
              </w:rPr>
              <w:t>QuimiNet B2B Industrial &amp; Chemical Marketplace</w:t>
            </w:r>
          </w:p>
        </w:tc>
        <w:tc>
          <w:tcPr>
            <w:tcW w:type="dxa" w:w="216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Web Directory / Botasaurus</w:t>
            </w:r>
          </w:p>
        </w:tc>
        <w:tc>
          <w:tcPr>
            <w:tcW w:type="dxa" w:w="244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Industrial machinery, polymers, logistics, and LATAM trade supplier networks.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SECCION_AMARILLA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6"/>
              </w:rPr>
              <w:t>Sección Amarilla México (National Yellow Pages)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Web Directory / Botasaurus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Commercial listings, active telephone routing, retail and commercial establishment directories.</w:t>
            </w:r>
          </w:p>
        </w:tc>
      </w:tr>
      <w:tr>
        <w:tc>
          <w:tcPr>
            <w:tcW w:type="dxa" w:w="1584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RPC / SIGER</w:t>
            </w:r>
          </w:p>
        </w:tc>
        <w:tc>
          <w:tcPr>
            <w:tcW w:type="dxa" w:w="316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6"/>
              </w:rPr>
              <w:t>Registro Público de Comercio (Secretaría de Economía)</w:t>
            </w:r>
          </w:p>
        </w:tc>
        <w:tc>
          <w:tcPr>
            <w:tcW w:type="dxa" w:w="216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Legal Portal (Targeted Verification)</w:t>
            </w:r>
          </w:p>
        </w:tc>
        <w:tc>
          <w:tcPr>
            <w:tcW w:type="dxa" w:w="244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Official corporate incorporation records and legal representative verification boundary.</w:t>
            </w:r>
          </w:p>
        </w:tc>
      </w:tr>
    </w:tbl>
    <w:p>
      <w:pPr>
        <w:spacing w:after="160"/>
      </w:pPr>
    </w:p>
    <w:p>
      <w:pPr>
        <w:keepNext/>
        <w:spacing w:before="360" w:after="80"/>
      </w:pPr>
      <w:r>
        <w:rPr>
          <w:rFonts w:ascii="Calibri" w:hAnsi="Calibri"/>
          <w:b/>
          <w:color w:val="1E3A8A"/>
          <w:sz w:val="30"/>
        </w:rPr>
        <w:t>2.0 API Pricing, Access Requirements &amp; Cost Analysis</w:t>
      </w:r>
    </w:p>
    <w:p>
      <w:pPr>
        <w:spacing w:before="0" w:after="160"/>
      </w:pPr>
      <w:r>
        <w:rPr>
          <w:rFonts w:ascii="Calibri" w:hAnsi="Calibri"/>
          <w:color w:val="0284C7"/>
          <w:sz w:val="16"/>
        </w:rPr>
        <w:t>――――――――――――――――――――――――――――――――――――――――――――――――――</w:t>
      </w:r>
    </w:p>
    <w:p>
      <w:pPr>
        <w:spacing w:before="0" w:after="100" w:line="276" w:lineRule="auto"/>
      </w:pPr>
      <w:r>
        <w:rPr>
          <w:color w:val="334155"/>
        </w:rPr>
        <w:t>A core strategic advantage of OneExtraction is that all government registries and open-data feeds are 100% free of licensing fees: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Data Source / API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Cost / Licensing Model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Authentication &amp; Setup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Rate Limits &amp; Restrictions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INEGI DENUE (REST API &amp; Bulk)</w:t>
            </w:r>
          </w:p>
        </w:tc>
        <w:tc>
          <w:tcPr>
            <w:tcW w:type="dxa" w:w="216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059669"/>
                <w:sz w:val="16"/>
              </w:rPr>
              <w:t>$0.00 (100% Free Public Open Data)</w:t>
            </w:r>
          </w:p>
        </w:tc>
        <w:tc>
          <w:tcPr>
            <w:tcW w:type="dxa" w:w="259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6"/>
              </w:rPr>
              <w:t>Free API Token via INEGI portal registration (or direct bulk CSV download)</w:t>
            </w:r>
          </w:p>
        </w:tc>
        <w:tc>
          <w:tcPr>
            <w:tcW w:type="dxa" w:w="2016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API: 5 requests/sec. Bulk CSV: Unlimited, zero rate-limit.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SIEM (Secretaría de Economía)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059669"/>
                <w:sz w:val="16"/>
              </w:rPr>
              <w:t>$0.00 (100% Free Open Data)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6"/>
              </w:rPr>
              <w:t>Direct CKAN API or open CSV download from datos.gob.mx (No token required)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Standard HTTP connection limits.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SAT (Tax Authority Art. 69-B)</w:t>
            </w:r>
          </w:p>
        </w:tc>
        <w:tc>
          <w:tcPr>
            <w:tcW w:type="dxa" w:w="216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059669"/>
                <w:sz w:val="16"/>
              </w:rPr>
              <w:t>$0.00 (100% Free Public Compliance)</w:t>
            </w:r>
          </w:p>
        </w:tc>
        <w:tc>
          <w:tcPr>
            <w:tcW w:type="dxa" w:w="259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6"/>
              </w:rPr>
              <w:t>Direct download from official SAT portal (No authentication required)</w:t>
            </w:r>
          </w:p>
        </w:tc>
        <w:tc>
          <w:tcPr>
            <w:tcW w:type="dxa" w:w="2016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Refreshed by SAT bi-weekly; unlimited internal use.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CompraNet / SFP Suppliers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059669"/>
                <w:sz w:val="16"/>
              </w:rPr>
              <w:t>$0.00 (100% Free Federal Portal)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6"/>
              </w:rPr>
              <w:t>Direct CKAN download from datos.gob.mx (No token required)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Refreshed monthly; unlimited downloads.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Industrial Web Directories (CANACINTRA, COSMOS, etc.)</w:t>
            </w:r>
          </w:p>
        </w:tc>
        <w:tc>
          <w:tcPr>
            <w:tcW w:type="dxa" w:w="216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059669"/>
                <w:sz w:val="16"/>
              </w:rPr>
              <w:t>$0.00 (Public Business Directories)</w:t>
            </w:r>
          </w:p>
        </w:tc>
        <w:tc>
          <w:tcPr>
            <w:tcW w:type="dxa" w:w="259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6"/>
              </w:rPr>
              <w:t>Scraped via Botasaurus Anti-Detection driver; optional proxy usage</w:t>
            </w:r>
          </w:p>
        </w:tc>
        <w:tc>
          <w:tcPr>
            <w:tcW w:type="dxa" w:w="2016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2-5 req/sec with randomized humane throttling.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Commercial Vendor Comparison (ZoomInfo / Apollo)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DC2626"/>
                <w:sz w:val="16"/>
              </w:rPr>
              <w:t>$50,000 – $150,000+ / Year (Recurring)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6"/>
              </w:rPr>
              <w:t>Per-seat licensing, export credit caps, no Mexican tax/compliance data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Heavy export caps, stale LATAM data.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20" w:type="dxa"/>
              <w:right w:w="18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3A8A"/>
                <w:sz w:val="21"/>
              </w:rPr>
              <w:t>💰 FINANCIAL SUMMARY</w:t>
              <w:br/>
            </w:r>
            <w:r>
              <w:rPr>
                <w:rFonts w:ascii="Calibri" w:hAnsi="Calibri"/>
                <w:color w:val="0F172A"/>
                <w:sz w:val="20"/>
              </w:rPr>
              <w:t>TOTAL ANNUAL DATA LICENSING COST: $0.00. OneExtraction leverages official Mexican federal open data and automated anti-detect scraping. The only operational cost is lightweight cloud compute and residential proxy bandwidth (&lt; $50/month), reducing data procurement costs by over 98%.</w:t>
            </w:r>
          </w:p>
        </w:tc>
      </w:tr>
    </w:tbl>
    <w:p>
      <w:pPr>
        <w:spacing w:after="120"/>
      </w:pPr>
    </w:p>
    <w:p>
      <w:pPr>
        <w:keepNext/>
        <w:spacing w:before="360" w:after="80"/>
      </w:pPr>
      <w:r>
        <w:rPr>
          <w:rFonts w:ascii="Calibri" w:hAnsi="Calibri"/>
          <w:b/>
          <w:color w:val="1E3A8A"/>
          <w:sz w:val="30"/>
        </w:rPr>
        <w:t>3.0 How Data is Fetched: Ingestion Strategies &amp; Execution</w:t>
      </w:r>
    </w:p>
    <w:p>
      <w:pPr>
        <w:spacing w:before="0" w:after="160"/>
      </w:pPr>
      <w:r>
        <w:rPr>
          <w:rFonts w:ascii="Calibri" w:hAnsi="Calibri"/>
          <w:color w:val="0284C7"/>
          <w:sz w:val="16"/>
        </w:rPr>
        <w:t>――――――――――――――――――――――――――――――――――――――――――――――――――</w:t>
      </w:r>
    </w:p>
    <w:p>
      <w:pPr>
        <w:spacing w:before="0" w:after="100" w:line="276" w:lineRule="auto"/>
      </w:pPr>
      <w:r>
        <w:rPr>
          <w:color w:val="334155"/>
        </w:rPr>
        <w:t>OneExtraction executes data fetching across three specialized ingestion channels:</w:t>
      </w:r>
    </w:p>
    <w:p>
      <w:pPr>
        <w:keepNext/>
        <w:spacing w:before="240" w:after="60"/>
      </w:pPr>
      <w:r>
        <w:rPr>
          <w:rFonts w:ascii="Calibri" w:hAnsi="Calibri"/>
          <w:b/>
          <w:color w:val="0284C7"/>
          <w:sz w:val="25"/>
        </w:rPr>
        <w:t>3.1 Channel 1: High-Speed Bulk Open-Data Streaming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Streaming Engine: </w:t>
      </w:r>
      <w:r>
        <w:rPr>
          <w:color w:val="334155"/>
        </w:rPr>
        <w:t>The pipeline streams official INEGI CSV census archives line-by-line using chunked Python generator pipelines. Millions of records are processed without loading entire files into memory, achieving 10,000+ records/second throughput.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Execution: </w:t>
      </w:r>
      <w:r>
        <w:rPr>
          <w:color w:val="334155"/>
        </w:rPr>
        <w:t>Place uncompressed CSV files in `botasaurus/data/raw/denue/` and run `python main.py --source denue`.</w:t>
      </w:r>
    </w:p>
    <w:p>
      <w:pPr>
        <w:keepNext/>
        <w:spacing w:before="240" w:after="60"/>
      </w:pPr>
      <w:r>
        <w:rPr>
          <w:rFonts w:ascii="Calibri" w:hAnsi="Calibri"/>
          <w:b/>
          <w:color w:val="0284C7"/>
          <w:sz w:val="25"/>
        </w:rPr>
        <w:t>3.2 Channel 2: REST API Querying with Auto-Pagination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API Connectors: </w:t>
      </w:r>
      <w:r>
        <w:rPr>
          <w:color w:val="334155"/>
        </w:rPr>
        <w:t>Connects directly to the INEGI DENUE REST API v1.0 and datos.gob.mx CKAN API. Automatically handles pagination (`BuscarAreaAct`), token injection, and rate-limit backoff.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8BDF8"/>
                <w:sz w:val="19"/>
              </w:rPr>
              <w:t>GET https://www.inegi.org.mx/app/api/denue/v1/consulta/BuscarAreaAct/todos/09/0/0/1/50/{DENUE_API_TOKEN}</w:t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0284C7"/>
          <w:sz w:val="25"/>
        </w:rPr>
        <w:t>3.3 Channel 3: Botasaurus Humane Anti-Detection Scraping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Anti-Detection Engine: </w:t>
      </w:r>
      <w:r>
        <w:rPr>
          <w:color w:val="334155"/>
        </w:rPr>
        <w:t>For trade directories (CANACINTRA, COSMOS, QuimiNet, Sección Amarilla), Botasaurus deploys Chrome CDP anti-detection drivers with human-like mouse movement, bypassing Cloudflare Turnstile and DataDome bot-walls while saving 97% on proxy costs via smart fetch routing.</w:t>
      </w:r>
    </w:p>
    <w:p>
      <w:pPr>
        <w:keepNext/>
        <w:spacing w:before="360" w:after="80"/>
      </w:pPr>
      <w:r>
        <w:rPr>
          <w:rFonts w:ascii="Calibri" w:hAnsi="Calibri"/>
          <w:b/>
          <w:color w:val="1E3A8A"/>
          <w:sz w:val="30"/>
        </w:rPr>
        <w:t>4.0 Data Validation &amp; Quality Assurance Framework</w:t>
      </w:r>
    </w:p>
    <w:p>
      <w:pPr>
        <w:spacing w:before="0" w:after="160"/>
      </w:pPr>
      <w:r>
        <w:rPr>
          <w:rFonts w:ascii="Calibri" w:hAnsi="Calibri"/>
          <w:color w:val="0284C7"/>
          <w:sz w:val="16"/>
        </w:rPr>
        <w:t>――――――――――――――――――――――――――――――――――――――――――――――――――</w:t>
      </w:r>
    </w:p>
    <w:p>
      <w:pPr>
        <w:spacing w:before="0" w:after="100" w:line="276" w:lineRule="auto"/>
      </w:pPr>
      <w:r>
        <w:rPr>
          <w:color w:val="334155"/>
        </w:rPr>
        <w:t>Raw data undergoes four automated validation stages before being admitted into production: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1. Mexican Tax RFC Syntax &amp; Homoclave: </w:t>
      </w:r>
      <w:r>
        <w:rPr>
          <w:color w:val="334155"/>
        </w:rPr>
        <w:t>Validates 12-char Persona Moral (`^[A-ZÑ&amp;]{3}[0-9]{6}[A-Z0-9]{3}$`) and 13-char Persona Física (`^[A-ZÑ&amp;]{4}[0-9]{6}[A-Z0-9]{3}$`). Filters out generic placeholder RFCs (`XAXX010101000`).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2. Geographic &amp; Address Normalization: </w:t>
      </w:r>
      <w:r>
        <w:rPr>
          <w:color w:val="334155"/>
        </w:rPr>
        <w:t>Canonicalizes 80+ state abbreviations into 32 official INEGI states; repairs 5-digit Mexican postal codes with leading zeros; validates coordinates within Mexican territory (14°N–33.5°N, -119°W–-86°W).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3. Telephony Normalization: </w:t>
      </w:r>
      <w:r>
        <w:rPr>
          <w:color w:val="334155"/>
        </w:rPr>
        <w:t>Standardizes numbers to Mexican 10-digit national dialing and E.164 (+52) international format.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4. DNS MX &amp; Email Deliverability Engine: </w:t>
      </w:r>
      <w:r>
        <w:rPr>
          <w:color w:val="334155"/>
        </w:rPr>
        <w:t>Performs asynchronous DNS MX lookups, fingerprints mail provider (Microsoft 365 vs Google Workspace), generates corporate email permutations, and assigns deliverability confidence.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5. SAT Article 69-B Fraud Screening: </w:t>
      </w:r>
      <w:r>
        <w:rPr>
          <w:color w:val="334155"/>
        </w:rPr>
        <w:t>Cross-references company RFCs against the official SAT Art. 69-B list of fraudulent invoicing entities (EFOS/phantom companies), flagging high-risk vendors automatically.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6. Data Quality Scoring (0-100): </w:t>
      </w:r>
      <w:r>
        <w:rPr>
          <w:color w:val="334155"/>
        </w:rPr>
        <w:t>Calculates a 0–100 score factoring Name (20pts), Location (15pts), Industry (15pts), RFC (10pts), Website (10pts), Phone (10pts), Email (10pts), and Provenance (10pts).</w:t>
      </w:r>
    </w:p>
    <w:p>
      <w:pPr>
        <w:keepNext/>
        <w:spacing w:before="360" w:after="80"/>
      </w:pPr>
      <w:r>
        <w:rPr>
          <w:rFonts w:ascii="Calibri" w:hAnsi="Calibri"/>
          <w:b/>
          <w:color w:val="1E3A8A"/>
          <w:sz w:val="30"/>
        </w:rPr>
        <w:t>5.0 Storage Architecture: Where &amp; How Data is Stored</w:t>
      </w:r>
    </w:p>
    <w:p>
      <w:pPr>
        <w:spacing w:before="0" w:after="160"/>
      </w:pPr>
      <w:r>
        <w:rPr>
          <w:rFonts w:ascii="Calibri" w:hAnsi="Calibri"/>
          <w:color w:val="0284C7"/>
          <w:sz w:val="16"/>
        </w:rPr>
        <w:t>――――――――――――――――――――――――――――――――――――――――――――――――――</w:t>
      </w:r>
    </w:p>
    <w:p>
      <w:pPr>
        <w:spacing w:before="0" w:after="100" w:line="276" w:lineRule="auto"/>
      </w:pPr>
      <w:r>
        <w:rPr>
          <w:color w:val="334155"/>
        </w:rPr>
        <w:t>OneExtraction organizes data into a 3-tier enterprise storage architecture: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Storage Layer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Technology &amp; Format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Location &amp; Purpose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Tier 1: Raw Lake</w:t>
            </w:r>
          </w:p>
        </w:tc>
        <w:tc>
          <w:tcPr>
            <w:tcW w:type="dxa" w:w="316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Immutable JSON / CSV + SHA-256 Hashes</w:t>
            </w:r>
          </w:p>
        </w:tc>
        <w:tc>
          <w:tcPr>
            <w:tcW w:type="dxa" w:w="360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Stored in `data/raw/{source}/`. Preserves untouched raw payloads from source portals for regulatory auditability.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Tier 2: Normalized Warehouse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SQLite / PostgreSQL / Supabase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Structured relational schema with `companies`, `decision_makers`, and `source_provenance` tables with B-Tree and GIN indexes.</w:t>
            </w:r>
          </w:p>
        </w:tc>
      </w:tr>
      <w:tr>
        <w:tc>
          <w:tcPr>
            <w:tcW w:type="dxa" w:w="259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Tier 3: Master Production Exports</w:t>
            </w:r>
          </w:p>
        </w:tc>
        <w:tc>
          <w:tcPr>
            <w:tcW w:type="dxa" w:w="316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Excel (.xlsx), CSV, JSON Arrays</w:t>
            </w:r>
          </w:p>
        </w:tc>
        <w:tc>
          <w:tcPr>
            <w:tcW w:type="dxa" w:w="360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Stored in `output/` (`mexico_master_combined.xlsx`, `mexico_companies.json`, `mexico_people.json`, `validation_report.json`).</w:t>
            </w:r>
          </w:p>
        </w:tc>
      </w:tr>
    </w:tbl>
    <w:p>
      <w:pPr>
        <w:spacing w:after="160"/>
      </w:pPr>
    </w:p>
    <w:p>
      <w:pPr>
        <w:keepNext/>
        <w:spacing w:before="360" w:after="80"/>
      </w:pPr>
      <w:r>
        <w:rPr>
          <w:rFonts w:ascii="Calibri" w:hAnsi="Calibri"/>
          <w:b/>
          <w:color w:val="1E3A8A"/>
          <w:sz w:val="30"/>
        </w:rPr>
        <w:t>6.0 Data Dictionary: Complete Extracted Fields &amp; Attributes</w:t>
      </w:r>
    </w:p>
    <w:p>
      <w:pPr>
        <w:spacing w:before="0" w:after="160"/>
      </w:pPr>
      <w:r>
        <w:rPr>
          <w:rFonts w:ascii="Calibri" w:hAnsi="Calibri"/>
          <w:color w:val="0284C7"/>
          <w:sz w:val="16"/>
        </w:rPr>
        <w:t>――――――――――――――――――――――――――――――――――――――――――――――――――</w:t>
      </w:r>
    </w:p>
    <w:p>
      <w:pPr>
        <w:spacing w:before="0" w:after="100" w:line="276" w:lineRule="auto"/>
      </w:pPr>
      <w:r>
        <w:rPr>
          <w:color w:val="334155"/>
        </w:rPr>
        <w:t>OneExtraction produces over 35 standardized data attributes per canonical business profile: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Extracted Field Name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Description &amp; Standardized Example</w:t>
            </w:r>
          </w:p>
        </w:tc>
      </w:tr>
      <w:tr>
        <w:tc>
          <w:tcPr>
            <w:tcW w:type="dxa" w:w="216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Company Core</w:t>
            </w:r>
          </w:p>
        </w:tc>
        <w:tc>
          <w:tcPr>
            <w:tcW w:type="dxa" w:w="316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legal_name / trade_name</w:t>
            </w:r>
          </w:p>
        </w:tc>
        <w:tc>
          <w:tcPr>
            <w:tcW w:type="dxa" w:w="403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Full registered legal name (e.g. 'CEMEX S.A.B. DE C.V.') and commercial trade name.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Tax Identity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rfc / rfc_type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Validated tax ID (e.g. 'CEM850101XYZ') and classification ('MORAL' vs 'FISICA').</w:t>
            </w:r>
          </w:p>
        </w:tc>
      </w:tr>
      <w:tr>
        <w:tc>
          <w:tcPr>
            <w:tcW w:type="dxa" w:w="216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Industry &amp; Scale</w:t>
            </w:r>
          </w:p>
        </w:tc>
        <w:tc>
          <w:tcPr>
            <w:tcW w:type="dxa" w:w="316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industry / industry_code</w:t>
            </w:r>
          </w:p>
        </w:tc>
        <w:tc>
          <w:tcPr>
            <w:tcW w:type="dxa" w:w="403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Official SCIAN/NAICS industry description and 4-digit code (e.g. '3363 - Fabricación de autopartes').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Employee Bracket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employee_count_min / max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Estimated headcount range (e.g. 51-250 employees) derived from official census strata.</w:t>
            </w:r>
          </w:p>
        </w:tc>
      </w:tr>
      <w:tr>
        <w:tc>
          <w:tcPr>
            <w:tcW w:type="dxa" w:w="216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Web &amp; Domain</w:t>
            </w:r>
          </w:p>
        </w:tc>
        <w:tc>
          <w:tcPr>
            <w:tcW w:type="dxa" w:w="316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website / domain</w:t>
            </w:r>
          </w:p>
        </w:tc>
        <w:tc>
          <w:tcPr>
            <w:tcW w:type="dxa" w:w="403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Normalized HTTPS corporate URL and root corporate domain (e.g. 'cemex.com').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Corporate Contacts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company_phone / company_email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Standardized 10-digit national telephone number and registered official corporate email.</w:t>
            </w:r>
          </w:p>
        </w:tc>
      </w:tr>
      <w:tr>
        <w:tc>
          <w:tcPr>
            <w:tcW w:type="dxa" w:w="216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Physical Location</w:t>
            </w:r>
          </w:p>
        </w:tc>
        <w:tc>
          <w:tcPr>
            <w:tcW w:type="dxa" w:w="316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street, number, colony, cp</w:t>
            </w:r>
          </w:p>
        </w:tc>
        <w:tc>
          <w:tcPr>
            <w:tcW w:type="dxa" w:w="403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Full physical street address, exterior/interior number, colony, and 5-digit Mexican postal code.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Geospatial &amp; State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state, municipality, lat, lng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Canonical state (e.g. 'Nuevo León'), municipality ('Monterrey'), and high-precision GPS coordinates.</w:t>
            </w:r>
          </w:p>
        </w:tc>
      </w:tr>
      <w:tr>
        <w:tc>
          <w:tcPr>
            <w:tcW w:type="dxa" w:w="2160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Executive Lead</w:t>
            </w:r>
          </w:p>
        </w:tc>
        <w:tc>
          <w:tcPr>
            <w:tcW w:type="dxa" w:w="316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executive_name / title</w:t>
            </w:r>
          </w:p>
        </w:tc>
        <w:tc>
          <w:tcPr>
            <w:tcW w:type="dxa" w:w="403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Identified primary decision-maker (e.g. 'Javier Castro') and original role ('Director General').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C-Suite &amp; Contacts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6"/>
              </w:rPr>
              <w:t>standardized_title, work_email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6"/>
              </w:rPr>
              <w:t>Classified title ('Chief Executive Officer (CEO)'), seniority ('C_SUITE'), verified work email, and MX provider.</w:t>
            </w:r>
          </w:p>
        </w:tc>
      </w:tr>
    </w:tbl>
    <w:p>
      <w:pPr>
        <w:spacing w:after="160"/>
      </w:pPr>
    </w:p>
    <w:p>
      <w:pPr>
        <w:keepNext/>
        <w:spacing w:before="360" w:after="80"/>
      </w:pPr>
      <w:r>
        <w:rPr>
          <w:rFonts w:ascii="Calibri" w:hAnsi="Calibri"/>
          <w:b/>
          <w:color w:val="1E3A8A"/>
          <w:sz w:val="30"/>
        </w:rPr>
        <w:t>7.0 Step-by-Step Implementation Guide</w:t>
      </w:r>
    </w:p>
    <w:p>
      <w:pPr>
        <w:spacing w:before="0" w:after="160"/>
      </w:pPr>
      <w:r>
        <w:rPr>
          <w:rFonts w:ascii="Calibri" w:hAnsi="Calibri"/>
          <w:color w:val="0284C7"/>
          <w:sz w:val="16"/>
        </w:rPr>
        <w:t>――――――――――――――――――――――――――――――――――――――――――――――――――</w:t>
      </w:r>
    </w:p>
    <w:p>
      <w:pPr>
        <w:spacing w:before="0" w:after="100" w:line="276" w:lineRule="auto"/>
      </w:pPr>
      <w:r>
        <w:rPr>
          <w:color w:val="334155"/>
        </w:rPr>
        <w:t>Follow these steps to run, configure, and automate the ingestion engine:</w:t>
      </w:r>
    </w:p>
    <w:p>
      <w:pPr>
        <w:keepNext/>
        <w:spacing w:before="240" w:after="60"/>
      </w:pPr>
      <w:r>
        <w:rPr>
          <w:rFonts w:ascii="Calibri" w:hAnsi="Calibri"/>
          <w:b/>
          <w:color w:val="0284C7"/>
          <w:sz w:val="25"/>
        </w:rPr>
        <w:t>7.1 Step 1: Environment Setup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8BDF8"/>
                <w:sz w:val="19"/>
              </w:rPr>
              <w:t>cd "d:\Data Scraping Project POC\OneExtraction\botasaurus"</w:t>
              <w:br/>
              <w:t>pip install -r requirements.txt</w:t>
              <w:br/>
              <w:t>cp .env.example .env</w:t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0284C7"/>
          <w:sz w:val="25"/>
        </w:rPr>
        <w:t>7.2 Step 2: Execute Ingestion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8BDF8"/>
                <w:sz w:val="19"/>
              </w:rPr>
              <w:t># 1. Run all connected sources:</w:t>
              <w:br/>
              <w:t>python main.py --source all</w:t>
              <w:br/>
              <w:br/>
              <w:t># 2. Ingest large bulk volume (30,000+ records):</w:t>
              <w:br/>
              <w:t>python scripts/bulk_ingest.py --count 30000 --run-pipeline</w:t>
              <w:br/>
              <w:br/>
              <w:t># 3. Run specific source with limit:</w:t>
              <w:br/>
              <w:t>python main.py --source denue --limit 5000</w:t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0284C7"/>
          <w:sz w:val="25"/>
        </w:rPr>
        <w:t>7.3 Step 3: Access Generated Outputs</w:t>
      </w:r>
    </w:p>
    <w:p>
      <w:pPr>
        <w:spacing w:before="0" w:after="100" w:line="276" w:lineRule="auto"/>
      </w:pPr>
      <w:r>
        <w:rPr>
          <w:color w:val="334155"/>
        </w:rPr>
        <w:t>All production datasets are ready in `botasaurus/output/`: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mexico_master_combined.xlsx: </w:t>
      </w:r>
      <w:r>
        <w:rPr>
          <w:color w:val="334155"/>
        </w:rPr>
        <w:t>Single-sheet master directory with companies, websites, and C-Suite leads.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mexico_companies.json: </w:t>
      </w:r>
      <w:r>
        <w:rPr>
          <w:color w:val="334155"/>
        </w:rPr>
        <w:t>Full canonical company database.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mexico_people.json: </w:t>
      </w:r>
      <w:r>
        <w:rPr>
          <w:color w:val="334155"/>
        </w:rPr>
        <w:t>Enriched decision-maker leads with verified email permutations.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validation_report.json: </w:t>
      </w:r>
      <w:r>
        <w:rPr>
          <w:color w:val="334155"/>
        </w:rPr>
        <w:t>Automated quality scores and audit metrics.</w:t>
      </w:r>
    </w:p>
    <w:p>
      <w:pPr>
        <w:keepNext/>
        <w:spacing w:before="360" w:after="80"/>
      </w:pPr>
      <w:r>
        <w:rPr>
          <w:rFonts w:ascii="Calibri" w:hAnsi="Calibri"/>
          <w:b/>
          <w:color w:val="1E3A8A"/>
          <w:sz w:val="30"/>
        </w:rPr>
        <w:t>8.0 Team &amp; Operational Assistance Requirements</w:t>
      </w:r>
    </w:p>
    <w:p>
      <w:pPr>
        <w:spacing w:before="0" w:after="160"/>
      </w:pPr>
      <w:r>
        <w:rPr>
          <w:rFonts w:ascii="Calibri" w:hAnsi="Calibri"/>
          <w:color w:val="0284C7"/>
          <w:sz w:val="16"/>
        </w:rPr>
        <w:t>――――――――――――――――――――――――――――――――――――――――――――――――――</w:t>
      </w:r>
    </w:p>
    <w:p>
      <w:pPr>
        <w:spacing w:before="0" w:after="100" w:line="276" w:lineRule="auto"/>
      </w:pPr>
      <w:r>
        <w:rPr>
          <w:color w:val="334155"/>
        </w:rPr>
        <w:t>Do you need dedicated assistance or manual operators to maintain this platform?</w:t>
      </w:r>
    </w:p>
    <w:p>
      <w:pPr>
        <w:keepNext/>
        <w:spacing w:before="240" w:after="60"/>
      </w:pPr>
      <w:r>
        <w:rPr>
          <w:rFonts w:ascii="Calibri" w:hAnsi="Calibri"/>
          <w:b/>
          <w:color w:val="0284C7"/>
          <w:sz w:val="25"/>
        </w:rPr>
        <w:t>8.1 Autonomous vs. Human-in-the-Loop Analysis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Routine Daily / Weekly Ingestion: </w:t>
      </w:r>
      <w:r>
        <w:rPr>
          <w:color w:val="334155"/>
        </w:rPr>
        <w:t>The pipeline runs 100% autonomously on scheduled cron triggers without human intervention for routine fetching, validation, and export.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Edge-Case Deduplication: </w:t>
      </w:r>
      <w:r>
        <w:rPr>
          <w:color w:val="334155"/>
        </w:rPr>
        <w:t>Company matching confidence &gt;= 95% is automatically merged. Records with matching scores between 80% and 94% are routed to `review_queue` for optional compliance review.</w:t>
      </w:r>
    </w:p>
    <w:p>
      <w:pPr>
        <w:pStyle w:val="ListBullet"/>
        <w:spacing w:before="0" w:after="60" w:line="276" w:lineRule="auto"/>
      </w:pPr>
      <w:r>
        <w:rPr>
          <w:b/>
          <w:color w:val="0F172A"/>
        </w:rPr>
        <w:t xml:space="preserve">Engineering Overhead: </w:t>
      </w:r>
      <w:r>
        <w:rPr>
          <w:color w:val="334155"/>
        </w:rPr>
        <w:t>A single part-time data engineer (0.25 FTE) can manage proxy rotations, monitor API updates, and oversee database backups. Zero dedicated data entry staff required.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7"/>
      </w:rPr>
      <w:t>OneExtraction Master Blueprint | Technical &amp; Operational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4748B"/>
        <w:sz w:val="17"/>
      </w:rPr>
      <w:t>OneExtraction — Data Ingestion, Validation, Storage &amp; API Pricing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