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DSI236 Practical Assignment Report</w:t>
      </w:r>
    </w:p>
    <w:p>
      <w:r>
        <w:rPr>
          <w:b/>
          <w:color w:val="176B68"/>
          <w:sz w:val="34"/>
        </w:rPr>
        <w:t>MSUAS Student Services Information Portal</w:t>
      </w:r>
    </w:p>
    <w:p>
      <w:r>
        <w:t>Responsive and interactive multimedia web application prototype | October 2026</w:t>
      </w:r>
    </w:p>
    <w:p>
      <w:r>
        <w:t>Group of five — insert all members' names, student numbers and assigned contributions before submission.</w:t>
      </w:r>
    </w:p>
    <w:p>
      <w:pPr>
        <w:pStyle w:val="Heading1"/>
      </w:pPr>
      <w:r>
        <w:t>1. Case Study Analysis</w:t>
      </w:r>
    </w:p>
    <w:p>
      <w:r>
        <w:t>Students may consult different channels to find academic, health, finance, accommodation, career and campus-life information. This portal consolidates selected public service summaries in one responsive interface and points to official pages for verification.</w:t>
      </w:r>
    </w:p>
    <w:p>
      <w:pPr>
        <w:pStyle w:val="Heading1"/>
      </w:pPr>
      <w:r>
        <w:t>2. Problem Identification</w:t>
      </w:r>
    </w:p>
    <w:p>
      <w:r>
        <w:t>Students need a simple, mobile-friendly way to discover services and understand next steps without navigating many disconnected sources. Target users include current and prospective students, new students, student representatives and visitors.</w:t>
      </w:r>
    </w:p>
    <w:p>
      <w:pPr>
        <w:pStyle w:val="Heading1"/>
      </w:pPr>
      <w:r>
        <w:t>3. Purpose and Objectives</w:t>
      </w:r>
    </w:p>
    <w:p>
      <w:r>
        <w:t>Provide a single portal that summarises key services, supports search and category filters, reveals details, prepares email enquiries and demonstrates HTML5, CSS3, JavaScript, multimedia, p5.js and accessibility.</w:t>
      </w:r>
    </w:p>
    <w:p>
      <w:pPr>
        <w:pStyle w:val="Heading1"/>
      </w:pPr>
      <w:r>
        <w:t>4. Planning and Features</w:t>
      </w:r>
    </w:p>
    <w:p>
      <w:r>
        <w:t>Responsive navigation, hero banner, quick-access cards, seven service summaries, search, category filtering, expandable details, p5.js network, directory search, official contact information and validated enquiry form. Sitemap, user flow and wireframe are included.</w:t>
      </w:r>
    </w:p>
    <w:p>
      <w:pPr>
        <w:pStyle w:val="Heading1"/>
      </w:pPr>
      <w:r>
        <w:t>5. Technologies</w:t>
      </w:r>
    </w:p>
    <w:p>
      <w:r>
        <w:t>HTML5 semantic landmarks and forms; CSS3 custom properties, Grid, Flexbox and media queries; JavaScript event handling, filtering, DOM manipulation and validation; p5.js interactive network; generated campus banner; Markdown and SVG documentation assets.</w:t>
      </w:r>
    </w:p>
    <w:p>
      <w:pPr>
        <w:pStyle w:val="Heading1"/>
      </w:pPr>
      <w:r>
        <w:t>6. Interface Design</w:t>
      </w:r>
    </w:p>
    <w:p>
      <w:r>
        <w:t>Deep teal/navy, muted teal, gold and off-white create a professional student-focused palette. Consistent cards, spacing, tags and headings establish hierarchy. Desktop uses two columns; tablet/mobile layouts stack and use a collapsible menu.</w:t>
      </w:r>
    </w:p>
    <w:p>
      <w:pPr>
        <w:pStyle w:val="Heading1"/>
      </w:pPr>
      <w:r>
        <w:t>7. HTML5 Development</w:t>
      </w:r>
    </w:p>
    <w:p>
      <w:r>
        <w:t>The page uses header, nav, main, section, article, aside, form and footer landmarks. Inputs have explicit labels; heading hierarchy is structured; a skip link supports keyboard users.</w:t>
      </w:r>
    </w:p>
    <w:p>
      <w:pPr>
        <w:pStyle w:val="Heading1"/>
      </w:pPr>
      <w:r>
        <w:t>8. CSS3 and Responsive Design</w:t>
      </w:r>
    </w:p>
    <w:p>
      <w:r>
        <w:t>CSS Grid and Flexbox organise content. Breakpoints at 1100px, 850px and 560px adapt layouts. Focus-visible styles and reduced-motion support are included.</w:t>
      </w:r>
    </w:p>
    <w:p>
      <w:pPr>
        <w:pStyle w:val="Heading1"/>
      </w:pPr>
      <w:r>
        <w:t>9. JavaScript Interactivity</w:t>
      </w:r>
    </w:p>
    <w:p>
      <w:r>
        <w:t>The app supports search, category filtering, result counts, no-results feedback, detail toggles, directory navigation, sidebar filtering, mobile menu and form validation. A valid form creates a mailto draft; it does not send or store messages.</w:t>
      </w:r>
    </w:p>
    <w:p>
      <w:pPr>
        <w:pStyle w:val="Heading1"/>
      </w:pPr>
      <w:r>
        <w:t>10. Multimedia and p5.js</w:t>
      </w:r>
    </w:p>
    <w:p>
      <w:r>
        <w:t>A custom campus banner and interactive p5.js network add multimedia. Nodes cover Library, e-Learning, Health, Student Life, Admissions and Fees. The network is illustrative, not a geographic map. p5.js is loaded from a CDN.</w:t>
      </w:r>
    </w:p>
    <w:p>
      <w:pPr>
        <w:pStyle w:val="Heading1"/>
      </w:pPr>
      <w:r>
        <w:t>11. Official Information Sources</w:t>
      </w:r>
    </w:p>
    <w:p>
      <w:r>
        <w:t>Health: https://msuas.ac.zw/health-services/ ; official site: https://web.msuas.ac.zw/ ; Admissions: https://web.msuas.ac.zw/admissions/ ; Bursar: https://web.msuas.ac.zw/bursars-department/ ; Fees: https://web.msuas.ac.zw/fees/ ; student-affairs documents: https://web.msuas.ac.zw/downloads/ ; e-Learning: https://elearning.msuas.ac.zw/ ; Library: https://library.msuas.ac.zw/our-services/ ; borrowing: https://library.msuas.ac.zw/services/borrow-reserve-renew/ ; library spaces: https://library.msuas.ac.zw/spaces-rooms/.</w:t>
      </w:r>
    </w:p>
    <w:p>
      <w:pPr>
        <w:pStyle w:val="Heading1"/>
      </w:pPr>
      <w:r>
        <w:t>12. Accuracy and Scope</w:t>
      </w:r>
    </w:p>
    <w:p>
      <w:r>
        <w:t>Independent academic prototype, not an official MSUAS system. Information may change; verify hours, contacts, fees and policies on official pages. Separate residence-allocation rules and counselling-office contacts were not verified. No login, payments, student records or backend email sending.</w:t>
      </w:r>
    </w:p>
    <w:p>
      <w:pPr>
        <w:pStyle w:val="Heading1"/>
      </w:pPr>
      <w:r>
        <w:t>13. Usability, Accessibility and Testing</w:t>
      </w:r>
    </w:p>
    <w:p>
      <w:r>
        <w:t>A skip link, semantic landmarks, form labels, visible focus, status announcements, keyboard-operable controls and reduced-motion styling are included. Run the manual checklist in the Markdown report and record observed results. Test at 375px, 768px and 1366px in at least two browsers.</w:t>
      </w:r>
    </w:p>
    <w:p>
      <w:pPr>
        <w:pStyle w:val="Heading1"/>
      </w:pPr>
      <w:r>
        <w:t>14. Demonstration Script</w:t>
      </w:r>
    </w:p>
    <w:p>
      <w:r>
        <w:t>Explain the problem; show desktop design; search and filter; expand details; open official sources; use directory; select p5.js nodes; test form validation; resize to mobile; discuss limitations and test outcomes.</w:t>
      </w:r>
    </w:p>
    <w:p>
      <w:pPr>
        <w:pStyle w:val="Heading1"/>
      </w:pPr>
      <w:r>
        <w:t>15. Development Process</w:t>
      </w:r>
    </w:p>
    <w:p>
      <w:r>
        <w:t>Case Study Analysis → Problem Identification → Planning → Interface Design → HTML5 Development → CSS3/Responsive Design → JavaScript Interactivity → Multimedia/p5.js Integration → Testing → Documentation → Final Demonstration.</w:t>
      </w:r>
    </w:p>
    <w:p>
      <w:pPr>
        <w:pStyle w:val="Heading1"/>
      </w:pPr>
      <w:r>
        <w:t>16. Suggested Group-of-Five Allocation</w:t>
      </w:r>
    </w:p>
    <w:p>
      <w:r>
        <w:t>Member 1: analysis/report; Member 2: HTML; Member 3: CSS/responsive UI; Member 4: JavaScript; Member 5: p5.js/multimedia/QA. All members should understand the full application.</w:t>
      </w:r>
    </w:p>
    <w:p>
      <w:pPr>
        <w:pStyle w:val="Heading1"/>
      </w:pPr>
      <w:r>
        <w:t>Manual Test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Steps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Actual result</w:t>
            </w:r>
          </w:p>
        </w:tc>
      </w:tr>
      <w:tr>
        <w:tc>
          <w:tcPr>
            <w:tcW w:type="dxa" w:w="2484"/>
          </w:tcPr>
          <w:p>
            <w:r>
              <w:t>Initial load</w:t>
            </w:r>
          </w:p>
        </w:tc>
        <w:tc>
          <w:tcPr>
            <w:tcW w:type="dxa" w:w="2484"/>
          </w:tcPr>
          <w:p>
            <w:r>
              <w:t>Open index.html / local server</w:t>
            </w:r>
          </w:p>
        </w:tc>
        <w:tc>
          <w:tcPr>
            <w:tcW w:type="dxa" w:w="2484"/>
          </w:tcPr>
          <w:p>
            <w:r>
              <w:t>Styles, cards and assets appear</w:t>
            </w:r>
          </w:p>
        </w:tc>
        <w:tc>
          <w:tcPr>
            <w:tcW w:type="dxa" w:w="2484"/>
          </w:tcPr>
          <w:p>
            <w:r>
              <w:t>Pending group verification</w:t>
            </w:r>
          </w:p>
        </w:tc>
      </w:tr>
      <w:tr>
        <w:tc>
          <w:tcPr>
            <w:tcW w:type="dxa" w:w="2484"/>
          </w:tcPr>
          <w:p>
            <w:r>
              <w:t>Search/filter</w:t>
            </w:r>
          </w:p>
        </w:tc>
        <w:tc>
          <w:tcPr>
            <w:tcW w:type="dxa" w:w="2484"/>
          </w:tcPr>
          <w:p>
            <w:r>
              <w:t>Search library/clinic; select Academic</w:t>
            </w:r>
          </w:p>
        </w:tc>
        <w:tc>
          <w:tcPr>
            <w:tcW w:type="dxa" w:w="2484"/>
          </w:tcPr>
          <w:p>
            <w:r>
              <w:t>Matching cards display</w:t>
            </w:r>
          </w:p>
        </w:tc>
        <w:tc>
          <w:tcPr>
            <w:tcW w:type="dxa" w:w="2484"/>
          </w:tcPr>
          <w:p>
            <w:r>
              <w:t>Pending group verification</w:t>
            </w:r>
          </w:p>
        </w:tc>
      </w:tr>
      <w:tr>
        <w:tc>
          <w:tcPr>
            <w:tcW w:type="dxa" w:w="2484"/>
          </w:tcPr>
          <w:p>
            <w:r>
              <w:t>Expand details</w:t>
            </w:r>
          </w:p>
        </w:tc>
        <w:tc>
          <w:tcPr>
            <w:tcW w:type="dxa" w:w="2484"/>
          </w:tcPr>
          <w:p>
            <w:r>
              <w:t>Activate detail buttons</w:t>
            </w:r>
          </w:p>
        </w:tc>
        <w:tc>
          <w:tcPr>
            <w:tcW w:type="dxa" w:w="2484"/>
          </w:tcPr>
          <w:p>
            <w:r>
              <w:t>Details and aria-expanded update</w:t>
            </w:r>
          </w:p>
        </w:tc>
        <w:tc>
          <w:tcPr>
            <w:tcW w:type="dxa" w:w="2484"/>
          </w:tcPr>
          <w:p>
            <w:r>
              <w:t>Pending group verification</w:t>
            </w:r>
          </w:p>
        </w:tc>
      </w:tr>
      <w:tr>
        <w:tc>
          <w:tcPr>
            <w:tcW w:type="dxa" w:w="2484"/>
          </w:tcPr>
          <w:p>
            <w:r>
              <w:t>Form validation</w:t>
            </w:r>
          </w:p>
        </w:tc>
        <w:tc>
          <w:tcPr>
            <w:tcW w:type="dxa" w:w="2484"/>
          </w:tcPr>
          <w:p>
            <w:r>
              <w:t>Submit empty, invalid and valid data</w:t>
            </w:r>
          </w:p>
        </w:tc>
        <w:tc>
          <w:tcPr>
            <w:tcW w:type="dxa" w:w="2484"/>
          </w:tcPr>
          <w:p>
            <w:r>
              <w:t>Invalid blocked; valid opens email draft</w:t>
            </w:r>
          </w:p>
        </w:tc>
        <w:tc>
          <w:tcPr>
            <w:tcW w:type="dxa" w:w="2484"/>
          </w:tcPr>
          <w:p>
            <w:r>
              <w:t>Pending group verification</w:t>
            </w:r>
          </w:p>
        </w:tc>
      </w:tr>
      <w:tr>
        <w:tc>
          <w:tcPr>
            <w:tcW w:type="dxa" w:w="2484"/>
          </w:tcPr>
          <w:p>
            <w:r>
              <w:t>Responsive</w:t>
            </w:r>
          </w:p>
        </w:tc>
        <w:tc>
          <w:tcPr>
            <w:tcW w:type="dxa" w:w="2484"/>
          </w:tcPr>
          <w:p>
            <w:r>
              <w:t>Test 375px, 768px and 1366px</w:t>
            </w:r>
          </w:p>
        </w:tc>
        <w:tc>
          <w:tcPr>
            <w:tcW w:type="dxa" w:w="2484"/>
          </w:tcPr>
          <w:p>
            <w:r>
              <w:t>No overflow; layout adapts</w:t>
            </w:r>
          </w:p>
        </w:tc>
        <w:tc>
          <w:tcPr>
            <w:tcW w:type="dxa" w:w="2484"/>
          </w:tcPr>
          <w:p>
            <w:r>
              <w:t>Pending group verification</w:t>
            </w:r>
          </w:p>
        </w:tc>
      </w:tr>
      <w:tr>
        <w:tc>
          <w:tcPr>
            <w:tcW w:type="dxa" w:w="2484"/>
          </w:tcPr>
          <w:p>
            <w:r>
              <w:t>Keyboard</w:t>
            </w:r>
          </w:p>
        </w:tc>
        <w:tc>
          <w:tcPr>
            <w:tcW w:type="dxa" w:w="2484"/>
          </w:tcPr>
          <w:p>
            <w:r>
              <w:t>Tab through controls</w:t>
            </w:r>
          </w:p>
        </w:tc>
        <w:tc>
          <w:tcPr>
            <w:tcW w:type="dxa" w:w="2484"/>
          </w:tcPr>
          <w:p>
            <w:r>
              <w:t>Focus visible and skip link works</w:t>
            </w:r>
          </w:p>
        </w:tc>
        <w:tc>
          <w:tcPr>
            <w:tcW w:type="dxa" w:w="2484"/>
          </w:tcPr>
          <w:p>
            <w:r>
              <w:t>Pending group verification</w:t>
            </w:r>
          </w:p>
        </w:tc>
      </w:tr>
      <w:tr>
        <w:tc>
          <w:tcPr>
            <w:tcW w:type="dxa" w:w="2484"/>
          </w:tcPr>
          <w:p>
            <w:r>
              <w:t>p5.js</w:t>
            </w:r>
          </w:p>
        </w:tc>
        <w:tc>
          <w:tcPr>
            <w:tcW w:type="dxa" w:w="2484"/>
          </w:tcPr>
          <w:p>
            <w:r>
              <w:t>Select each node</w:t>
            </w:r>
          </w:p>
        </w:tc>
        <w:tc>
          <w:tcPr>
            <w:tcW w:type="dxa" w:w="2484"/>
          </w:tcPr>
          <w:p>
            <w:r>
              <w:t>Status description changes</w:t>
            </w:r>
          </w:p>
        </w:tc>
        <w:tc>
          <w:tcPr>
            <w:tcW w:type="dxa" w:w="2484"/>
          </w:tcPr>
          <w:p>
            <w:r>
              <w:t>Pending group verification</w:t>
            </w:r>
          </w:p>
        </w:tc>
      </w:tr>
    </w:tbl>
    <w:p>
      <w:pPr>
        <w:pStyle w:val="Heading1"/>
      </w:pPr>
      <w:r>
        <w:t>Appendix: Design Previews</w:t>
      </w:r>
    </w:p>
    <w:p>
      <w:r>
        <w:t>Static design previews are included for planning and report use. Capture fresh browser screenshots after running and testing the working application.</w:t>
      </w:r>
    </w:p>
    <w:p>
      <w:r>
        <w:drawing>
          <wp:inline xmlns:a="http://schemas.openxmlformats.org/drawingml/2006/main" xmlns:pic="http://schemas.openxmlformats.org/drawingml/2006/picture">
            <wp:extent cx="5943600" cy="4333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-design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Homepage design preview (static concept, not a live browser capture).</w:t>
      </w:r>
    </w:p>
    <w:p>
      <w:r>
        <w:drawing>
          <wp:inline xmlns:a="http://schemas.openxmlformats.org/drawingml/2006/main" xmlns:pic="http://schemas.openxmlformats.org/drawingml/2006/picture">
            <wp:extent cx="5760720" cy="3514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Application sitemap.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9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